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C6CBF6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B405E8A" w:rsidR="00E66558" w:rsidRDefault="00755C9C">
            <w:pPr>
              <w:pStyle w:val="TableRow"/>
            </w:pPr>
            <w:r>
              <w:t xml:space="preserve">St Benedict’s Catholic Primary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D619BDF" w:rsidR="00E66558" w:rsidRDefault="007A2C76">
            <w:pPr>
              <w:pStyle w:val="TableRow"/>
            </w:pPr>
            <w:r>
              <w:t>201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1576787" w:rsidR="00E66558" w:rsidRDefault="00140E43">
            <w:pPr>
              <w:pStyle w:val="TableRow"/>
            </w:pPr>
            <w:r>
              <w:t>26.4%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97A3EB5" w:rsidR="00E66558" w:rsidRDefault="00755C9C" w:rsidP="007E16D8">
            <w:pPr>
              <w:pStyle w:val="TableRow"/>
            </w:pPr>
            <w:r>
              <w:t>202</w:t>
            </w:r>
            <w:r w:rsidR="007E16D8">
              <w:t>1</w:t>
            </w:r>
            <w:r>
              <w:t>-2023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762593C" w:rsidR="00E66558" w:rsidRDefault="007A2C76">
            <w:pPr>
              <w:pStyle w:val="TableRow"/>
            </w:pPr>
            <w:r>
              <w:t>October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C0DCE9C" w:rsidR="00E66558" w:rsidRDefault="007A2C76">
            <w:pPr>
              <w:pStyle w:val="TableRow"/>
            </w:pPr>
            <w:r>
              <w:t>October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C6EDCEE" w:rsidR="00E66558" w:rsidRDefault="007404DE">
            <w:pPr>
              <w:pStyle w:val="TableRow"/>
            </w:pPr>
            <w:r>
              <w:t>Full Governing Body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D0D1752" w:rsidR="00E66558" w:rsidRDefault="00755C9C">
            <w:pPr>
              <w:pStyle w:val="TableRow"/>
            </w:pPr>
            <w:r>
              <w:t>Hannah McGuire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1153FF32" w:rsidR="00E66558" w:rsidRDefault="009D71E8" w:rsidP="00755C9C">
            <w:pPr>
              <w:pStyle w:val="TableRow"/>
            </w:pPr>
            <w:r>
              <w:t>Governor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7F4D721" w:rsidR="00E66558" w:rsidRDefault="00755C9C">
            <w:pPr>
              <w:pStyle w:val="TableRow"/>
            </w:pPr>
            <w:r>
              <w:t>Helen Butler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EF24247" w:rsidR="00E66558" w:rsidRDefault="009D71E8">
            <w:pPr>
              <w:pStyle w:val="TableRow"/>
            </w:pPr>
            <w:r>
              <w:t>£</w:t>
            </w:r>
            <w:r w:rsidR="00140E43" w:rsidRPr="003F154D">
              <w:t>56785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78BE806" w:rsidR="00E66558" w:rsidRDefault="0032503C" w:rsidP="00EF42F8">
            <w:pPr>
              <w:pStyle w:val="TableRow"/>
            </w:pPr>
            <w:r>
              <w:t>£</w:t>
            </w:r>
            <w:r w:rsidR="00EF42F8">
              <w:t xml:space="preserve">unknown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86C3493" w:rsidR="00E66558" w:rsidRDefault="0032503C" w:rsidP="0032503C">
            <w:pPr>
              <w:pStyle w:val="TableRow"/>
              <w:ind w:left="0"/>
            </w:pPr>
            <w: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F4F8C97" w:rsidR="00E66558" w:rsidRDefault="009D71E8">
            <w:pPr>
              <w:pStyle w:val="TableRow"/>
            </w:pPr>
            <w:r>
              <w:t>£</w:t>
            </w:r>
            <w:r w:rsidR="0032503C" w:rsidRPr="00EF42F8">
              <w:rPr>
                <w:highlight w:val="yellow"/>
              </w:rPr>
              <w:t>62435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28370" w14:textId="77777777" w:rsidR="00632CD8" w:rsidRPr="00F5593C" w:rsidRDefault="00632CD8" w:rsidP="00632CD8">
            <w:pPr>
              <w:pStyle w:val="7Tablebodycopy"/>
              <w:rPr>
                <w:szCs w:val="20"/>
              </w:rPr>
            </w:pPr>
            <w:r w:rsidRPr="00F5593C">
              <w:rPr>
                <w:szCs w:val="20"/>
              </w:rPr>
              <w:t xml:space="preserve">All members of staff, governors and teaching assistants accept responsibility for ‘disadvantaged’ pupils and are committed to meeting their pastoral, social and academic needs within the school environment. We are committed to ‘diminishing the gap’ between vulnerable pupils and their peers; the pupil premium forms a vital part of this process. This funding helps remove barriers to learning so that all our pupils are in receipt of Quality First Teaching in every classroom enabling them to reach their full potential and to fully engage in our curriculum and school life. </w:t>
            </w:r>
          </w:p>
          <w:p w14:paraId="5FD943B7" w14:textId="77777777" w:rsidR="00632CD8" w:rsidRPr="00F5593C" w:rsidRDefault="00632CD8" w:rsidP="00632CD8">
            <w:pPr>
              <w:pStyle w:val="7Tablebodycopy"/>
              <w:rPr>
                <w:szCs w:val="20"/>
              </w:rPr>
            </w:pPr>
            <w:r w:rsidRPr="00F5593C">
              <w:rPr>
                <w:szCs w:val="20"/>
              </w:rPr>
              <w:t xml:space="preserve">Provision will be made through: </w:t>
            </w:r>
          </w:p>
          <w:p w14:paraId="2D07B034" w14:textId="77777777" w:rsidR="00632CD8" w:rsidRPr="00F5593C" w:rsidRDefault="00632CD8" w:rsidP="00632CD8">
            <w:pPr>
              <w:pStyle w:val="3Bulletedcopyblue"/>
            </w:pPr>
            <w:r w:rsidRPr="00F5593C">
              <w:t xml:space="preserve">Developing and improving pupils’ access to education and access to the curriculum </w:t>
            </w:r>
          </w:p>
          <w:p w14:paraId="1AFF83E0" w14:textId="77777777" w:rsidR="00632CD8" w:rsidRPr="00F5593C" w:rsidRDefault="00632CD8" w:rsidP="00632CD8">
            <w:pPr>
              <w:pStyle w:val="3Bulletedcopyblue"/>
            </w:pPr>
            <w:r w:rsidRPr="00F5593C">
              <w:t>Providing alternative support and intervention where necessary within school</w:t>
            </w:r>
          </w:p>
          <w:p w14:paraId="5772D8B4" w14:textId="77777777" w:rsidR="00632CD8" w:rsidRPr="00F5593C" w:rsidRDefault="00632CD8" w:rsidP="00632CD8">
            <w:pPr>
              <w:pStyle w:val="3Bulletedcopyblue"/>
              <w:numPr>
                <w:ilvl w:val="0"/>
                <w:numId w:val="0"/>
              </w:numPr>
            </w:pPr>
            <w:r w:rsidRPr="00F5593C">
              <w:t xml:space="preserve">The aim of the pupil premium strategy is to diminish the differences between PP pupils and non-PP pupils and to raise attainment of all pupils.  </w:t>
            </w:r>
          </w:p>
          <w:p w14:paraId="6FFF9B9D" w14:textId="77777777" w:rsidR="00E66558" w:rsidRPr="00F5593C" w:rsidRDefault="00632CD8" w:rsidP="00632CD8">
            <w:pPr>
              <w:jc w:val="both"/>
              <w:rPr>
                <w:sz w:val="20"/>
                <w:szCs w:val="20"/>
              </w:rPr>
            </w:pPr>
            <w:r w:rsidRPr="00F5593C">
              <w:rPr>
                <w:sz w:val="20"/>
                <w:szCs w:val="20"/>
              </w:rPr>
              <w:t>This report aims to explain how Pupil Premium funding has been used within school. It will detail the attainment and progress of pupils who are covered by the premium and the intervention, practice or staffing that has been suppo</w:t>
            </w:r>
            <w:r w:rsidR="00BE7B0D" w:rsidRPr="00F5593C">
              <w:rPr>
                <w:sz w:val="20"/>
                <w:szCs w:val="20"/>
              </w:rPr>
              <w:t xml:space="preserve">rted by the additional funding, taking into account the impact of CVOID-19 on this cohort of pupils. </w:t>
            </w:r>
          </w:p>
          <w:p w14:paraId="4515683E" w14:textId="0C1F0B3D" w:rsidR="00E10D58" w:rsidRPr="00F5593C" w:rsidRDefault="00E10D58" w:rsidP="00632CD8">
            <w:pPr>
              <w:jc w:val="both"/>
              <w:rPr>
                <w:sz w:val="20"/>
                <w:szCs w:val="20"/>
              </w:rPr>
            </w:pPr>
            <w:r w:rsidRPr="00F5593C">
              <w:rPr>
                <w:sz w:val="20"/>
                <w:szCs w:val="20"/>
              </w:rPr>
              <w:t>Summative assessments took place for all year groups in July 202</w:t>
            </w:r>
            <w:r w:rsidR="00C14C82" w:rsidRPr="00F5593C">
              <w:rPr>
                <w:sz w:val="20"/>
                <w:szCs w:val="20"/>
              </w:rPr>
              <w:t>2</w:t>
            </w:r>
            <w:r w:rsidRPr="00F5593C">
              <w:rPr>
                <w:sz w:val="20"/>
                <w:szCs w:val="20"/>
              </w:rPr>
              <w:t xml:space="preserve"> and </w:t>
            </w:r>
            <w:r w:rsidR="00C14C82" w:rsidRPr="00F5593C">
              <w:rPr>
                <w:sz w:val="20"/>
                <w:szCs w:val="20"/>
              </w:rPr>
              <w:t>will be repeated in January 2023</w:t>
            </w:r>
            <w:r w:rsidRPr="00F5593C">
              <w:rPr>
                <w:sz w:val="20"/>
                <w:szCs w:val="20"/>
              </w:rPr>
              <w:t xml:space="preserve"> and July 202</w:t>
            </w:r>
            <w:r w:rsidR="00C14C82" w:rsidRPr="00F5593C">
              <w:rPr>
                <w:sz w:val="20"/>
                <w:szCs w:val="20"/>
              </w:rPr>
              <w:t>3</w:t>
            </w:r>
            <w:r w:rsidRPr="00F5593C">
              <w:rPr>
                <w:sz w:val="20"/>
                <w:szCs w:val="20"/>
              </w:rPr>
              <w:t xml:space="preserve"> (NFER). Teachers use other assessment tests, and their own teacher judgement, throughout the term to ensure that pupils are making progress. Book looks and writing moderation take place every half-term in all subjects.</w:t>
            </w:r>
            <w:r w:rsidR="00B43AC2" w:rsidRPr="00F5593C">
              <w:rPr>
                <w:sz w:val="20"/>
                <w:szCs w:val="20"/>
              </w:rPr>
              <w:t xml:space="preserve"> Interventions are monitored by the </w:t>
            </w:r>
            <w:proofErr w:type="spellStart"/>
            <w:r w:rsidR="00B43AC2" w:rsidRPr="00F5593C">
              <w:rPr>
                <w:sz w:val="20"/>
                <w:szCs w:val="20"/>
              </w:rPr>
              <w:t>SENDCo</w:t>
            </w:r>
            <w:proofErr w:type="spellEnd"/>
            <w:r w:rsidR="00B43AC2" w:rsidRPr="00F5593C">
              <w:rPr>
                <w:sz w:val="20"/>
                <w:szCs w:val="20"/>
              </w:rPr>
              <w:t xml:space="preserve"> and the subject leaders for writing and maths.</w:t>
            </w:r>
            <w:r w:rsidRPr="00F5593C">
              <w:rPr>
                <w:sz w:val="20"/>
                <w:szCs w:val="20"/>
              </w:rPr>
              <w:t xml:space="preserve"> </w:t>
            </w:r>
          </w:p>
          <w:p w14:paraId="2A7D54E9" w14:textId="1422F18D" w:rsidR="00B43AC2" w:rsidRPr="00632CD8" w:rsidRDefault="00B43AC2" w:rsidP="00632CD8">
            <w:pPr>
              <w:jc w:val="both"/>
              <w:rPr>
                <w:i/>
                <w:iCs/>
              </w:rPr>
            </w:pPr>
            <w:r w:rsidRPr="00F5593C">
              <w:rPr>
                <w:sz w:val="20"/>
                <w:szCs w:val="20"/>
              </w:rPr>
              <w:t>Attendance is tracked every half term and action taken where appropriate.</w:t>
            </w:r>
            <w:r>
              <w:t xml:space="preserve"> </w:t>
            </w:r>
          </w:p>
        </w:tc>
      </w:tr>
    </w:tbl>
    <w:p w14:paraId="2A7D54EB" w14:textId="7ADC2999" w:rsidR="00E66558" w:rsidRDefault="009D71E8">
      <w:pPr>
        <w:pStyle w:val="Heading2"/>
        <w:spacing w:before="600"/>
      </w:pPr>
      <w:r>
        <w:t>Challenges</w:t>
      </w:r>
      <w:r w:rsidR="003B4150">
        <w:t>:</w:t>
      </w:r>
      <w:r w:rsidR="00F5593C" w:rsidRPr="00F5593C">
        <w:rPr>
          <w:bCs/>
          <w:color w:val="auto"/>
        </w:rPr>
        <w:t xml:space="preserve"> </w:t>
      </w:r>
      <w:r w:rsidR="00F5593C" w:rsidRPr="003B4150">
        <w:rPr>
          <w:bCs/>
          <w:i/>
          <w:color w:val="auto"/>
          <w:sz w:val="20"/>
          <w:szCs w:val="20"/>
        </w:rPr>
        <w:t>This details</w:t>
      </w:r>
      <w:r w:rsidR="00F5593C" w:rsidRPr="003B4150">
        <w:rPr>
          <w:i/>
          <w:color w:val="auto"/>
          <w:sz w:val="20"/>
          <w:szCs w:val="20"/>
        </w:rPr>
        <w:t xml:space="preserve"> the key</w:t>
      </w:r>
      <w:r w:rsidR="00F5593C" w:rsidRPr="003B4150">
        <w:rPr>
          <w:bCs/>
          <w:i/>
          <w:color w:val="auto"/>
          <w:sz w:val="20"/>
          <w:szCs w:val="20"/>
        </w:rPr>
        <w:t xml:space="preserve"> </w:t>
      </w:r>
      <w:r w:rsidR="00F5593C" w:rsidRPr="003B4150">
        <w:rPr>
          <w:i/>
          <w:color w:val="auto"/>
          <w:sz w:val="20"/>
          <w:szCs w:val="20"/>
        </w:rPr>
        <w:t xml:space="preserve">challenges to </w:t>
      </w:r>
      <w:r w:rsidR="00F5593C" w:rsidRPr="003B4150">
        <w:rPr>
          <w:bCs/>
          <w:i/>
          <w:color w:val="auto"/>
          <w:sz w:val="20"/>
          <w:szCs w:val="20"/>
        </w:rPr>
        <w:t>achievement that we have</w:t>
      </w:r>
      <w:r w:rsidR="00F5593C" w:rsidRPr="003B4150">
        <w:rPr>
          <w:i/>
          <w:color w:val="auto"/>
          <w:sz w:val="20"/>
          <w:szCs w:val="20"/>
        </w:rPr>
        <w:t xml:space="preserve"> identified among </w:t>
      </w:r>
      <w:r w:rsidR="00F5593C" w:rsidRPr="003B4150">
        <w:rPr>
          <w:bCs/>
          <w:i/>
          <w:color w:val="auto"/>
          <w:sz w:val="20"/>
          <w:szCs w:val="20"/>
        </w:rPr>
        <w:t>our</w:t>
      </w:r>
      <w:r w:rsidR="00F5593C" w:rsidRPr="003B4150">
        <w:rPr>
          <w:i/>
          <w:color w:val="auto"/>
          <w:sz w:val="20"/>
          <w:szCs w:val="20"/>
        </w:rPr>
        <w:t xml:space="preserve"> disadvantaged pupils.</w:t>
      </w:r>
    </w:p>
    <w:p w14:paraId="2A7D54EC" w14:textId="441C710B" w:rsidR="00E66558" w:rsidRDefault="00E66558">
      <w:pPr>
        <w:spacing w:before="120" w:line="240" w:lineRule="auto"/>
        <w:textAlignment w:val="baseline"/>
        <w:outlineLvl w:val="0"/>
      </w:pP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755C9C"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755C9C" w:rsidRDefault="00755C9C" w:rsidP="00755C9C">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7B5868A" w:rsidR="00755C9C" w:rsidRDefault="00755C9C" w:rsidP="00C14C82">
            <w:pPr>
              <w:pStyle w:val="TableRowCentered"/>
              <w:jc w:val="left"/>
            </w:pPr>
            <w:r>
              <w:t xml:space="preserve">Difference between attainment in reading at the </w:t>
            </w:r>
            <w:r w:rsidR="00C14C82">
              <w:t xml:space="preserve">expected and higher </w:t>
            </w:r>
            <w:r>
              <w:t xml:space="preserve"> level for PP pupils and non-PP pupils</w:t>
            </w:r>
          </w:p>
        </w:tc>
      </w:tr>
      <w:tr w:rsidR="00755C9C"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755C9C" w:rsidRDefault="00755C9C" w:rsidP="00755C9C">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3A406D7" w:rsidR="00755C9C" w:rsidRDefault="00C14C82" w:rsidP="00C14C82">
            <w:pPr>
              <w:pStyle w:val="TableRowCentered"/>
              <w:jc w:val="left"/>
              <w:rPr>
                <w:sz w:val="22"/>
                <w:szCs w:val="22"/>
              </w:rPr>
            </w:pPr>
            <w:r>
              <w:t>Difference between attainment in writing at the expected and higher  level for PP pupils and non-PP pupils</w:t>
            </w:r>
          </w:p>
        </w:tc>
      </w:tr>
      <w:tr w:rsidR="00755C9C"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755C9C" w:rsidRDefault="00755C9C" w:rsidP="00755C9C">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8B434C9" w:rsidR="00755C9C" w:rsidRDefault="00755C9C" w:rsidP="00755C9C">
            <w:pPr>
              <w:pStyle w:val="TableRowCentered"/>
              <w:jc w:val="left"/>
              <w:rPr>
                <w:sz w:val="22"/>
                <w:szCs w:val="22"/>
              </w:rPr>
            </w:pPr>
            <w:r>
              <w:t>0% of PP Pupils who have additional SEND needs achieved the expected standard in English – reading and writing</w:t>
            </w:r>
            <w:r w:rsidR="00C14C82">
              <w:t xml:space="preserve"> -</w:t>
            </w:r>
            <w:r>
              <w:t xml:space="preserve"> compared to 67% of non-PP. </w:t>
            </w:r>
          </w:p>
        </w:tc>
      </w:tr>
      <w:tr w:rsidR="00755C9C"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755C9C" w:rsidRDefault="00755C9C" w:rsidP="00755C9C">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83E3A9B" w:rsidR="00755C9C" w:rsidRDefault="00EF42F8" w:rsidP="00EF42F8">
            <w:pPr>
              <w:pStyle w:val="TableRowCentered"/>
              <w:jc w:val="left"/>
              <w:rPr>
                <w:iCs/>
                <w:sz w:val="22"/>
              </w:rPr>
            </w:pPr>
            <w:r>
              <w:t xml:space="preserve">Attendance – All pupils 93.8% and Pupil Premium 90.6% </w:t>
            </w:r>
          </w:p>
        </w:tc>
      </w:tr>
      <w:tr w:rsidR="00755C9C" w14:paraId="151BFE2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5A563" w14:textId="29F404EF" w:rsidR="00755C9C" w:rsidRDefault="00E04BAB" w:rsidP="00755C9C">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6AB71" w14:textId="23D4F771" w:rsidR="00755C9C" w:rsidRDefault="00755C9C" w:rsidP="00755C9C">
            <w:pPr>
              <w:pStyle w:val="TableRowCentered"/>
              <w:jc w:val="left"/>
              <w:rPr>
                <w:iCs/>
                <w:sz w:val="22"/>
              </w:rPr>
            </w:pPr>
            <w:r>
              <w:t>Financial constraints limiting availability to take part in residential or school trips.</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390"/>
        <w:gridCol w:w="5096"/>
      </w:tblGrid>
      <w:tr w:rsidR="00E66558" w14:paraId="2A7D5503" w14:textId="77777777" w:rsidTr="008144D8">
        <w:tc>
          <w:tcPr>
            <w:tcW w:w="43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0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755C9C" w14:paraId="2A7D5506" w14:textId="77777777" w:rsidTr="008144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DCAE1E3" w:rsidR="00755C9C" w:rsidRPr="00755C9C" w:rsidRDefault="007E6A8F" w:rsidP="00755C9C">
            <w:pPr>
              <w:pStyle w:val="TableRow"/>
              <w:rPr>
                <w:rFonts w:cs="Arial"/>
              </w:rPr>
            </w:pPr>
            <w:r>
              <w:rPr>
                <w:rFonts w:cs="Arial"/>
              </w:rPr>
              <w:t xml:space="preserve">To </w:t>
            </w:r>
            <w:r w:rsidR="00755C9C" w:rsidRPr="00755C9C">
              <w:rPr>
                <w:rFonts w:cs="Arial"/>
              </w:rPr>
              <w:t xml:space="preserve">improve the attendance of PP pupils.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B1FBB" w14:textId="7AB0FECD" w:rsidR="00755C9C" w:rsidRPr="00755C9C" w:rsidRDefault="00755C9C" w:rsidP="00755C9C">
            <w:pPr>
              <w:pStyle w:val="7Tablebodycopy"/>
              <w:rPr>
                <w:rFonts w:cs="Arial"/>
                <w:sz w:val="24"/>
              </w:rPr>
            </w:pPr>
            <w:r w:rsidRPr="00755C9C">
              <w:rPr>
                <w:rFonts w:cs="Arial"/>
                <w:sz w:val="24"/>
              </w:rPr>
              <w:t xml:space="preserve">The attendance of PP pupils will be equal to or above that of the non-pp </w:t>
            </w:r>
            <w:r w:rsidR="00EF42F8" w:rsidRPr="00EF42F8">
              <w:rPr>
                <w:rFonts w:cs="Arial"/>
                <w:sz w:val="24"/>
              </w:rPr>
              <w:t>pupils (93.8% v 90</w:t>
            </w:r>
            <w:r w:rsidRPr="00EF42F8">
              <w:rPr>
                <w:rFonts w:cs="Arial"/>
                <w:sz w:val="24"/>
              </w:rPr>
              <w:t>%).</w:t>
            </w:r>
            <w:r w:rsidRPr="00755C9C">
              <w:rPr>
                <w:rFonts w:cs="Arial"/>
                <w:sz w:val="24"/>
              </w:rPr>
              <w:t xml:space="preserve"> </w:t>
            </w:r>
          </w:p>
          <w:p w14:paraId="2A7D5505" w14:textId="187B6B8D" w:rsidR="00755C9C" w:rsidRPr="00755C9C" w:rsidRDefault="00755C9C" w:rsidP="007E6A8F">
            <w:pPr>
              <w:pStyle w:val="TableRowCentered"/>
              <w:jc w:val="left"/>
              <w:rPr>
                <w:rFonts w:cs="Arial"/>
                <w:szCs w:val="24"/>
              </w:rPr>
            </w:pPr>
            <w:r w:rsidRPr="00755C9C">
              <w:rPr>
                <w:rFonts w:cs="Arial"/>
                <w:szCs w:val="24"/>
              </w:rPr>
              <w:br/>
              <w:t xml:space="preserve">School attendance will </w:t>
            </w:r>
            <w:r w:rsidR="007E6A8F">
              <w:rPr>
                <w:rFonts w:cs="Arial"/>
                <w:szCs w:val="24"/>
              </w:rPr>
              <w:t>exceed the national</w:t>
            </w:r>
            <w:r w:rsidRPr="00755C9C">
              <w:rPr>
                <w:rFonts w:cs="Arial"/>
                <w:szCs w:val="24"/>
              </w:rPr>
              <w:t xml:space="preserve"> </w:t>
            </w:r>
          </w:p>
        </w:tc>
      </w:tr>
      <w:tr w:rsidR="00755C9C" w14:paraId="2A7D5509" w14:textId="77777777" w:rsidTr="008144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7C18A88" w:rsidR="00755C9C" w:rsidRPr="00755C9C" w:rsidRDefault="007E6A8F" w:rsidP="007E6A8F">
            <w:pPr>
              <w:pStyle w:val="TableRow"/>
              <w:ind w:left="0"/>
              <w:rPr>
                <w:rFonts w:cs="Arial"/>
              </w:rPr>
            </w:pPr>
            <w:r>
              <w:rPr>
                <w:rFonts w:cs="Arial"/>
              </w:rPr>
              <w:t>D</w:t>
            </w:r>
            <w:r w:rsidR="00755C9C" w:rsidRPr="00755C9C">
              <w:rPr>
                <w:rFonts w:cs="Arial"/>
              </w:rPr>
              <w:t xml:space="preserve">iminish the difference between PP and non-PP attainment in writing and maths at the expected level.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04BE5" w14:textId="2C92FD77" w:rsidR="00755C9C" w:rsidRDefault="00755C9C" w:rsidP="00755C9C">
            <w:pPr>
              <w:pStyle w:val="7Tablebodycopy"/>
              <w:rPr>
                <w:rFonts w:cs="Arial"/>
                <w:sz w:val="24"/>
              </w:rPr>
            </w:pPr>
            <w:r w:rsidRPr="00755C9C">
              <w:rPr>
                <w:rFonts w:cs="Arial"/>
                <w:sz w:val="24"/>
              </w:rPr>
              <w:t xml:space="preserve">The difference in attainment between pupil premium and non-pupil premium groups is diminished in writing </w:t>
            </w:r>
          </w:p>
          <w:p w14:paraId="2A7D5508" w14:textId="3F946A5A" w:rsidR="00755C9C" w:rsidRPr="00755C9C" w:rsidRDefault="00755C9C" w:rsidP="008144D8">
            <w:pPr>
              <w:pStyle w:val="TableRowCentered"/>
              <w:ind w:left="0"/>
              <w:jc w:val="left"/>
              <w:rPr>
                <w:rFonts w:cs="Arial"/>
                <w:szCs w:val="24"/>
              </w:rPr>
            </w:pPr>
          </w:p>
        </w:tc>
      </w:tr>
      <w:tr w:rsidR="00755C9C" w14:paraId="2A7D550C" w14:textId="77777777" w:rsidTr="008144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D3AF05C" w:rsidR="00755C9C" w:rsidRPr="00755C9C" w:rsidRDefault="00755C9C" w:rsidP="00755C9C">
            <w:pPr>
              <w:pStyle w:val="TableRow"/>
              <w:rPr>
                <w:rFonts w:cs="Arial"/>
              </w:rPr>
            </w:pPr>
            <w:r w:rsidRPr="00755C9C">
              <w:rPr>
                <w:rFonts w:cs="Arial"/>
              </w:rPr>
              <w:t xml:space="preserve">To increase the percentage of PP pupils achieving the higher standing in Reading.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C4C23" w14:textId="25FE76F3" w:rsidR="00755C9C" w:rsidRDefault="00755C9C" w:rsidP="00755C9C">
            <w:pPr>
              <w:spacing w:line="226" w:lineRule="exact"/>
              <w:rPr>
                <w:rFonts w:cs="Arial"/>
              </w:rPr>
            </w:pPr>
            <w:r w:rsidRPr="006C3199">
              <w:rPr>
                <w:rFonts w:cs="Arial"/>
              </w:rPr>
              <w:t xml:space="preserve">The percentage of pupils achieving the higher standard in reading is closer to the non-PP percentage </w:t>
            </w:r>
          </w:p>
          <w:p w14:paraId="2E2619A7" w14:textId="42C66B79" w:rsidR="00E35458" w:rsidRDefault="00E35458" w:rsidP="00755C9C">
            <w:pPr>
              <w:spacing w:line="226" w:lineRule="exact"/>
              <w:rPr>
                <w:rFonts w:cs="Arial"/>
              </w:rPr>
            </w:pPr>
            <w:r>
              <w:rPr>
                <w:rFonts w:cs="Arial"/>
                <w:w w:val="98"/>
              </w:rPr>
              <w:t>Pp pupils passing the phonics screening is in line with non-pp peers.</w:t>
            </w:r>
          </w:p>
          <w:p w14:paraId="137E361E" w14:textId="1B2BC29B" w:rsidR="00E35458" w:rsidRDefault="008144D8" w:rsidP="008144D8">
            <w:pPr>
              <w:spacing w:after="0" w:line="226" w:lineRule="exact"/>
              <w:rPr>
                <w:rFonts w:cs="Arial"/>
                <w:color w:val="auto"/>
              </w:rPr>
            </w:pPr>
            <w:r>
              <w:rPr>
                <w:rFonts w:cs="Arial"/>
                <w:color w:val="auto"/>
              </w:rPr>
              <w:t>Y</w:t>
            </w:r>
            <w:bookmarkStart w:id="17" w:name="_GoBack"/>
            <w:bookmarkEnd w:id="17"/>
            <w:r>
              <w:rPr>
                <w:rFonts w:cs="Arial"/>
                <w:color w:val="auto"/>
              </w:rPr>
              <w:t xml:space="preserve">ear 6: </w:t>
            </w:r>
            <w:r w:rsidR="00E35458" w:rsidRPr="008144D8">
              <w:rPr>
                <w:rFonts w:cs="Arial"/>
                <w:color w:val="auto"/>
              </w:rPr>
              <w:t>PP achieving at the higher level - 37.5%  (3/8)</w:t>
            </w:r>
            <w:r>
              <w:rPr>
                <w:rFonts w:cs="Arial"/>
                <w:color w:val="auto"/>
              </w:rPr>
              <w:t xml:space="preserve">    </w:t>
            </w:r>
            <w:r w:rsidR="00E35458" w:rsidRPr="008144D8">
              <w:rPr>
                <w:rFonts w:cs="Arial"/>
                <w:color w:val="auto"/>
              </w:rPr>
              <w:t>Non PP – 22% (5/23)</w:t>
            </w:r>
          </w:p>
          <w:p w14:paraId="6626C10D" w14:textId="77777777" w:rsidR="008144D8" w:rsidRPr="008144D8" w:rsidRDefault="008144D8" w:rsidP="008144D8">
            <w:pPr>
              <w:spacing w:after="0" w:line="226" w:lineRule="exact"/>
              <w:rPr>
                <w:rFonts w:cs="Arial"/>
                <w:color w:val="auto"/>
              </w:rPr>
            </w:pPr>
          </w:p>
          <w:p w14:paraId="6BEEE68D" w14:textId="77777777" w:rsidR="00E35458" w:rsidRPr="008144D8" w:rsidRDefault="00E35458" w:rsidP="008144D8">
            <w:pPr>
              <w:spacing w:after="0" w:line="226" w:lineRule="exact"/>
              <w:rPr>
                <w:rFonts w:cs="Arial"/>
                <w:color w:val="auto"/>
              </w:rPr>
            </w:pPr>
            <w:r w:rsidRPr="008144D8">
              <w:rPr>
                <w:rFonts w:cs="Arial"/>
                <w:color w:val="auto"/>
              </w:rPr>
              <w:t>Year 1: non pp – 18%</w:t>
            </w:r>
          </w:p>
          <w:p w14:paraId="470F9E44" w14:textId="44D42435" w:rsidR="00E35458" w:rsidRDefault="00E35458" w:rsidP="008144D8">
            <w:pPr>
              <w:spacing w:after="0" w:line="226" w:lineRule="exact"/>
              <w:rPr>
                <w:rFonts w:cs="Arial"/>
                <w:color w:val="auto"/>
              </w:rPr>
            </w:pPr>
            <w:r w:rsidRPr="008144D8">
              <w:rPr>
                <w:rFonts w:cs="Arial"/>
                <w:color w:val="auto"/>
              </w:rPr>
              <w:t xml:space="preserve">             pp – 0% </w:t>
            </w:r>
          </w:p>
          <w:p w14:paraId="197DE4CA" w14:textId="77777777" w:rsidR="008144D8" w:rsidRPr="008144D8" w:rsidRDefault="008144D8" w:rsidP="008144D8">
            <w:pPr>
              <w:spacing w:after="0" w:line="226" w:lineRule="exact"/>
              <w:rPr>
                <w:rFonts w:cs="Arial"/>
                <w:color w:val="auto"/>
              </w:rPr>
            </w:pPr>
          </w:p>
          <w:p w14:paraId="3D377809" w14:textId="42534563" w:rsidR="00E35458" w:rsidRDefault="00E35458" w:rsidP="008144D8">
            <w:pPr>
              <w:spacing w:after="0" w:line="226" w:lineRule="exact"/>
              <w:rPr>
                <w:rFonts w:cs="Arial"/>
                <w:color w:val="auto"/>
              </w:rPr>
            </w:pPr>
            <w:r w:rsidRPr="008144D8">
              <w:rPr>
                <w:rFonts w:cs="Arial"/>
                <w:color w:val="auto"/>
              </w:rPr>
              <w:t>Year 2:  PP and Non PP – 0%</w:t>
            </w:r>
          </w:p>
          <w:p w14:paraId="0F99C83A" w14:textId="77777777" w:rsidR="008144D8" w:rsidRPr="008144D8" w:rsidRDefault="008144D8" w:rsidP="008144D8">
            <w:pPr>
              <w:spacing w:after="0" w:line="226" w:lineRule="exact"/>
              <w:rPr>
                <w:rFonts w:cs="Arial"/>
                <w:color w:val="auto"/>
              </w:rPr>
            </w:pPr>
          </w:p>
          <w:p w14:paraId="1404C93D" w14:textId="77777777" w:rsidR="00E35458" w:rsidRPr="008144D8" w:rsidRDefault="00E35458" w:rsidP="008144D8">
            <w:pPr>
              <w:spacing w:after="0" w:line="226" w:lineRule="exact"/>
              <w:rPr>
                <w:rFonts w:cs="Arial"/>
                <w:color w:val="auto"/>
              </w:rPr>
            </w:pPr>
            <w:r w:rsidRPr="008144D8">
              <w:rPr>
                <w:rFonts w:cs="Arial"/>
                <w:color w:val="auto"/>
              </w:rPr>
              <w:t>Year 3: PP – 55%</w:t>
            </w:r>
          </w:p>
          <w:p w14:paraId="16A8E614" w14:textId="3605DC54" w:rsidR="00E35458" w:rsidRDefault="00E35458" w:rsidP="008144D8">
            <w:pPr>
              <w:spacing w:after="0" w:line="226" w:lineRule="exact"/>
              <w:rPr>
                <w:rFonts w:cs="Arial"/>
                <w:color w:val="auto"/>
              </w:rPr>
            </w:pPr>
            <w:r w:rsidRPr="008144D8">
              <w:rPr>
                <w:rFonts w:cs="Arial"/>
                <w:color w:val="auto"/>
              </w:rPr>
              <w:t xml:space="preserve">             Non –PP – 52%</w:t>
            </w:r>
          </w:p>
          <w:p w14:paraId="19E26353" w14:textId="77777777" w:rsidR="008144D8" w:rsidRPr="008144D8" w:rsidRDefault="008144D8" w:rsidP="008144D8">
            <w:pPr>
              <w:spacing w:after="0" w:line="226" w:lineRule="exact"/>
              <w:rPr>
                <w:rFonts w:cs="Arial"/>
                <w:color w:val="auto"/>
              </w:rPr>
            </w:pPr>
          </w:p>
          <w:p w14:paraId="688F5A97" w14:textId="77777777" w:rsidR="00E35458" w:rsidRPr="008144D8" w:rsidRDefault="00E35458" w:rsidP="008144D8">
            <w:pPr>
              <w:spacing w:after="0" w:line="226" w:lineRule="exact"/>
              <w:rPr>
                <w:rFonts w:cs="Arial"/>
                <w:color w:val="auto"/>
              </w:rPr>
            </w:pPr>
            <w:r w:rsidRPr="008144D8">
              <w:rPr>
                <w:rFonts w:cs="Arial"/>
                <w:color w:val="auto"/>
              </w:rPr>
              <w:t>Year 4 Non PP – 59%</w:t>
            </w:r>
          </w:p>
          <w:p w14:paraId="5E933E14" w14:textId="0E9B5B25" w:rsidR="00E35458" w:rsidRDefault="00E35458" w:rsidP="008144D8">
            <w:pPr>
              <w:spacing w:after="0" w:line="226" w:lineRule="exact"/>
              <w:rPr>
                <w:rFonts w:cs="Arial"/>
                <w:color w:val="auto"/>
              </w:rPr>
            </w:pPr>
            <w:r w:rsidRPr="008144D8">
              <w:rPr>
                <w:rFonts w:cs="Arial"/>
                <w:color w:val="auto"/>
              </w:rPr>
              <w:t xml:space="preserve">           PP – 38%</w:t>
            </w:r>
          </w:p>
          <w:p w14:paraId="7904521C" w14:textId="77777777" w:rsidR="008144D8" w:rsidRPr="008144D8" w:rsidRDefault="008144D8" w:rsidP="008144D8">
            <w:pPr>
              <w:spacing w:after="0" w:line="226" w:lineRule="exact"/>
              <w:rPr>
                <w:rFonts w:cs="Arial"/>
                <w:color w:val="auto"/>
              </w:rPr>
            </w:pPr>
          </w:p>
          <w:p w14:paraId="51C15C55" w14:textId="77777777" w:rsidR="00E35458" w:rsidRPr="008144D8" w:rsidRDefault="00E35458" w:rsidP="008144D8">
            <w:pPr>
              <w:spacing w:after="0" w:line="226" w:lineRule="exact"/>
              <w:rPr>
                <w:rFonts w:cs="Arial"/>
                <w:color w:val="auto"/>
              </w:rPr>
            </w:pPr>
            <w:r w:rsidRPr="008144D8">
              <w:rPr>
                <w:rFonts w:cs="Arial"/>
                <w:color w:val="auto"/>
              </w:rPr>
              <w:t xml:space="preserve">Year 5 PP 37.5% </w:t>
            </w:r>
          </w:p>
          <w:p w14:paraId="2A7D550B" w14:textId="7D1B90D7" w:rsidR="00424624" w:rsidRPr="00755C9C" w:rsidRDefault="00E35458" w:rsidP="008144D8">
            <w:pPr>
              <w:spacing w:after="0" w:line="226" w:lineRule="exact"/>
              <w:rPr>
                <w:rFonts w:cs="Arial"/>
              </w:rPr>
            </w:pPr>
            <w:r w:rsidRPr="008144D8">
              <w:rPr>
                <w:rFonts w:cs="Arial"/>
                <w:color w:val="auto"/>
              </w:rPr>
              <w:t xml:space="preserve">              non PP – 76%</w:t>
            </w:r>
          </w:p>
        </w:tc>
      </w:tr>
      <w:tr w:rsidR="00B93B3B" w14:paraId="31688991" w14:textId="77777777" w:rsidTr="008144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92BD1" w14:textId="61463634" w:rsidR="00B93B3B" w:rsidRPr="00755C9C" w:rsidRDefault="00B93B3B" w:rsidP="00755C9C">
            <w:pPr>
              <w:pStyle w:val="TableRow"/>
              <w:rPr>
                <w:rFonts w:cs="Arial"/>
              </w:rPr>
            </w:pPr>
            <w:r>
              <w:rPr>
                <w:rFonts w:cs="Arial"/>
              </w:rPr>
              <w:t>Pupil Premium pupils have access to a range of activities and trips and uptake is comparable</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A8914" w14:textId="77777777" w:rsidR="007E6A8F" w:rsidRDefault="007E6A8F" w:rsidP="00755C9C">
            <w:pPr>
              <w:spacing w:line="226" w:lineRule="exact"/>
              <w:rPr>
                <w:rFonts w:cs="Arial"/>
              </w:rPr>
            </w:pPr>
            <w:r>
              <w:rPr>
                <w:rFonts w:cs="Arial"/>
              </w:rPr>
              <w:t>All PP pupils participate in at least one residential and all school trips</w:t>
            </w:r>
          </w:p>
          <w:p w14:paraId="4D32D029" w14:textId="09C5BE7C" w:rsidR="007E6A8F" w:rsidRPr="00755C9C" w:rsidRDefault="007E6A8F" w:rsidP="00755C9C">
            <w:pPr>
              <w:spacing w:line="226" w:lineRule="exact"/>
              <w:rPr>
                <w:rFonts w:cs="Arial"/>
              </w:rPr>
            </w:pPr>
            <w:r>
              <w:rPr>
                <w:rFonts w:cs="Arial"/>
              </w:rPr>
              <w:t xml:space="preserve">All PP pupils have access to at least one extra-curricular club </w:t>
            </w:r>
          </w:p>
        </w:tc>
      </w:tr>
    </w:tbl>
    <w:p w14:paraId="2A7D5512" w14:textId="17C3ECB0" w:rsidR="00E66558" w:rsidRDefault="00120AB1" w:rsidP="00744D3B">
      <w:pPr>
        <w:suppressAutoHyphens w:val="0"/>
        <w:spacing w:after="0" w:line="240" w:lineRule="auto"/>
      </w:pPr>
      <w:r>
        <w:br w:type="page"/>
      </w:r>
      <w:r w:rsidR="009D71E8">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829AF2F" w:rsidR="00E66558" w:rsidRDefault="00E54006">
      <w:r>
        <w:t>Budgeted cost: £</w:t>
      </w:r>
      <w:r w:rsidR="008D6F4D" w:rsidRPr="008D6F4D">
        <w:t>42492</w:t>
      </w:r>
    </w:p>
    <w:tbl>
      <w:tblPr>
        <w:tblW w:w="5000" w:type="pct"/>
        <w:tblCellMar>
          <w:left w:w="10" w:type="dxa"/>
          <w:right w:w="10" w:type="dxa"/>
        </w:tblCellMar>
        <w:tblLook w:val="04A0" w:firstRow="1" w:lastRow="0" w:firstColumn="1" w:lastColumn="0" w:noHBand="0" w:noVBand="1"/>
      </w:tblPr>
      <w:tblGrid>
        <w:gridCol w:w="3681"/>
        <w:gridCol w:w="3261"/>
        <w:gridCol w:w="2544"/>
      </w:tblGrid>
      <w:tr w:rsidR="00E66558" w14:paraId="2A7D5519" w14:textId="77777777" w:rsidTr="00C30227">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2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C3022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73C28" w14:textId="27A256B2" w:rsidR="00F90472" w:rsidRDefault="00F90472" w:rsidP="0051041E">
            <w:pPr>
              <w:pStyle w:val="7Tablebodybulleted"/>
              <w:numPr>
                <w:ilvl w:val="0"/>
                <w:numId w:val="0"/>
              </w:numPr>
            </w:pPr>
            <w:r>
              <w:t xml:space="preserve">Additional staff: </w:t>
            </w:r>
          </w:p>
          <w:p w14:paraId="19E4C375" w14:textId="0A5B10EF" w:rsidR="00F90472" w:rsidRDefault="00C30227" w:rsidP="0051041E">
            <w:pPr>
              <w:pStyle w:val="7Tablebodybulleted"/>
              <w:numPr>
                <w:ilvl w:val="0"/>
                <w:numId w:val="0"/>
              </w:numPr>
            </w:pPr>
            <w:r>
              <w:t>1</w:t>
            </w:r>
            <w:r w:rsidR="00F90472">
              <w:t xml:space="preserve">x TAs KS1 </w:t>
            </w:r>
          </w:p>
          <w:p w14:paraId="62A550A0" w14:textId="722C4C19" w:rsidR="00C30227" w:rsidRDefault="00C30227" w:rsidP="0051041E">
            <w:pPr>
              <w:pStyle w:val="7Tablebodybulleted"/>
              <w:numPr>
                <w:ilvl w:val="0"/>
                <w:numId w:val="0"/>
              </w:numPr>
            </w:pPr>
            <w:r>
              <w:t>1X ta ks2</w:t>
            </w:r>
          </w:p>
          <w:p w14:paraId="69851682" w14:textId="40408678" w:rsidR="00F90472" w:rsidRDefault="00F90472" w:rsidP="0051041E">
            <w:pPr>
              <w:pStyle w:val="7Tablebodybulleted"/>
              <w:numPr>
                <w:ilvl w:val="0"/>
                <w:numId w:val="0"/>
              </w:numPr>
            </w:pPr>
          </w:p>
          <w:p w14:paraId="76F63244" w14:textId="08A8FF57" w:rsidR="0051041E" w:rsidRDefault="0051041E" w:rsidP="0051041E">
            <w:pPr>
              <w:pStyle w:val="7Tablebodybulleted"/>
              <w:numPr>
                <w:ilvl w:val="0"/>
                <w:numId w:val="0"/>
              </w:numPr>
            </w:pPr>
            <w:r>
              <w:t>Termly Moderation of teacher judgements based on end-points</w:t>
            </w:r>
            <w:r w:rsidR="00554067">
              <w:t xml:space="preserve"> and c</w:t>
            </w:r>
            <w:r>
              <w:t xml:space="preserve">ontinued peer modelling and coaching to support all staff and sharing of good practice. </w:t>
            </w:r>
          </w:p>
          <w:p w14:paraId="1F47DD3D" w14:textId="748EDCB4" w:rsidR="0051041E" w:rsidRDefault="00554067" w:rsidP="0051041E">
            <w:pPr>
              <w:pStyle w:val="7Tablebodybulleted"/>
              <w:numPr>
                <w:ilvl w:val="0"/>
                <w:numId w:val="0"/>
              </w:numPr>
            </w:pPr>
            <w:r>
              <w:t>Specialist training and support</w:t>
            </w:r>
            <w:r w:rsidR="0051041E">
              <w:t xml:space="preserve"> with Literacy Counts for shared reading</w:t>
            </w:r>
            <w:r>
              <w:t xml:space="preserve"> improvements to benefit all pupils and training to focus on improving practice with small group work </w:t>
            </w:r>
          </w:p>
          <w:p w14:paraId="5C2145F5" w14:textId="0883F94F" w:rsidR="0051041E" w:rsidRDefault="0051041E" w:rsidP="0051041E">
            <w:pPr>
              <w:pStyle w:val="7Tablebodybulleted"/>
              <w:numPr>
                <w:ilvl w:val="0"/>
                <w:numId w:val="0"/>
              </w:numPr>
            </w:pPr>
            <w:r>
              <w:t xml:space="preserve">SLT to continue engaging with the Local authority MSIP program to raise standards in reading </w:t>
            </w:r>
            <w:r w:rsidR="00554067">
              <w:t>and to adapt practice within school.</w:t>
            </w:r>
          </w:p>
          <w:p w14:paraId="2A7D551A" w14:textId="117B267B" w:rsidR="00E66558" w:rsidRPr="00937072" w:rsidRDefault="00937072" w:rsidP="00937072">
            <w:pPr>
              <w:pStyle w:val="TableRow"/>
              <w:ind w:left="0"/>
              <w:rPr>
                <w:sz w:val="20"/>
                <w:szCs w:val="20"/>
                <w:lang w:val="en-US"/>
              </w:rPr>
            </w:pPr>
            <w:r w:rsidRPr="00937072">
              <w:rPr>
                <w:sz w:val="20"/>
                <w:szCs w:val="20"/>
                <w:lang w:val="en-US"/>
              </w:rPr>
              <w:t xml:space="preserve">Introduction of new synthetic phonics </w:t>
            </w:r>
            <w:proofErr w:type="spellStart"/>
            <w:r w:rsidRPr="00937072">
              <w:rPr>
                <w:sz w:val="20"/>
                <w:szCs w:val="20"/>
                <w:lang w:val="en-US"/>
              </w:rPr>
              <w:t>programme</w:t>
            </w:r>
            <w:proofErr w:type="spellEnd"/>
            <w:r>
              <w:rPr>
                <w:sz w:val="20"/>
                <w:szCs w:val="20"/>
                <w:lang w:val="en-US"/>
              </w:rPr>
              <w:t xml:space="preserve"> and monitoring to ensure high quality teaching continues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BC83D" w14:textId="62EB0D7F" w:rsidR="00F90472" w:rsidRDefault="00F90472" w:rsidP="0051041E">
            <w:pPr>
              <w:pStyle w:val="7Tablebodybulleted"/>
              <w:numPr>
                <w:ilvl w:val="0"/>
                <w:numId w:val="0"/>
              </w:numPr>
              <w:ind w:right="27"/>
            </w:pPr>
            <w:r>
              <w:t xml:space="preserve">This will mean all classes have at least 0.7 TA support (in addition to the SEND TAs) and the additional teacher will work with smaller groups in Reading, Writing and </w:t>
            </w:r>
            <w:proofErr w:type="spellStart"/>
            <w:r>
              <w:t>Maths</w:t>
            </w:r>
            <w:proofErr w:type="spellEnd"/>
            <w:r>
              <w:t>. Pupil progress meetings will be held each half-term to assess impact.</w:t>
            </w:r>
          </w:p>
          <w:p w14:paraId="0E40DC4D" w14:textId="7240E91C" w:rsidR="0051041E" w:rsidRDefault="0051041E" w:rsidP="0051041E">
            <w:pPr>
              <w:pStyle w:val="7Tablebodybulleted"/>
              <w:numPr>
                <w:ilvl w:val="0"/>
                <w:numId w:val="0"/>
              </w:numPr>
              <w:ind w:right="27"/>
            </w:pPr>
            <w:r>
              <w:t xml:space="preserve">EEF research – Improving Literacy at KS2 (April 17) </w:t>
            </w:r>
          </w:p>
          <w:p w14:paraId="69503A74" w14:textId="44C02D2B" w:rsidR="0051041E" w:rsidRDefault="001B0FD4" w:rsidP="0051041E">
            <w:pPr>
              <w:pStyle w:val="7Tablebodybulleted"/>
              <w:numPr>
                <w:ilvl w:val="0"/>
                <w:numId w:val="0"/>
              </w:numPr>
              <w:ind w:right="27"/>
            </w:pPr>
            <w:r>
              <w:t>EEF +2 impact</w:t>
            </w:r>
          </w:p>
          <w:p w14:paraId="2831A637" w14:textId="4A0D548E" w:rsidR="00554067" w:rsidRDefault="00554067" w:rsidP="0051041E">
            <w:pPr>
              <w:pStyle w:val="7Tablebodybulleted"/>
              <w:numPr>
                <w:ilvl w:val="0"/>
                <w:numId w:val="0"/>
              </w:numPr>
              <w:ind w:right="27"/>
            </w:pPr>
          </w:p>
          <w:p w14:paraId="6A1C0356" w14:textId="1DB02DD8" w:rsidR="00554067" w:rsidRDefault="00554067" w:rsidP="0051041E">
            <w:pPr>
              <w:pStyle w:val="7Tablebodybulleted"/>
              <w:numPr>
                <w:ilvl w:val="0"/>
                <w:numId w:val="0"/>
              </w:numPr>
              <w:ind w:right="27"/>
            </w:pPr>
            <w:r>
              <w:t>Impact of lesson improvements will be seen in the lesson observations and SIP visit feedback</w:t>
            </w:r>
          </w:p>
          <w:p w14:paraId="1EC2EFC6" w14:textId="31AAA2AA" w:rsidR="00554067" w:rsidRDefault="00554067" w:rsidP="0051041E">
            <w:pPr>
              <w:pStyle w:val="7Tablebodybulleted"/>
              <w:numPr>
                <w:ilvl w:val="0"/>
                <w:numId w:val="0"/>
              </w:numPr>
              <w:ind w:right="27"/>
            </w:pPr>
          </w:p>
          <w:p w14:paraId="0F9294DC" w14:textId="670DE803" w:rsidR="00554067" w:rsidRDefault="00554067" w:rsidP="0051041E">
            <w:pPr>
              <w:pStyle w:val="7Tablebodybulleted"/>
              <w:numPr>
                <w:ilvl w:val="0"/>
                <w:numId w:val="0"/>
              </w:numPr>
              <w:ind w:right="27"/>
            </w:pPr>
          </w:p>
          <w:p w14:paraId="658A7BAF" w14:textId="503ED515" w:rsidR="00554067" w:rsidRDefault="0051041E" w:rsidP="00C30227">
            <w:pPr>
              <w:pStyle w:val="7Tablebodybulleted"/>
              <w:numPr>
                <w:ilvl w:val="0"/>
                <w:numId w:val="0"/>
              </w:numPr>
              <w:ind w:right="27"/>
            </w:pPr>
            <w:r>
              <w:t xml:space="preserve">MSIP reading training. </w:t>
            </w:r>
          </w:p>
          <w:p w14:paraId="158158FA" w14:textId="77777777" w:rsidR="00C30227" w:rsidRDefault="00C30227" w:rsidP="00C30227">
            <w:pPr>
              <w:pStyle w:val="7Tablebodybulleted"/>
              <w:numPr>
                <w:ilvl w:val="0"/>
                <w:numId w:val="0"/>
              </w:numPr>
              <w:ind w:right="27"/>
            </w:pPr>
          </w:p>
          <w:p w14:paraId="789ECD67" w14:textId="21E73F12" w:rsidR="00554067" w:rsidRDefault="00554067" w:rsidP="00554067">
            <w:pPr>
              <w:pStyle w:val="7Tablebodybulleted"/>
              <w:numPr>
                <w:ilvl w:val="0"/>
                <w:numId w:val="0"/>
              </w:numPr>
            </w:pPr>
            <w:r>
              <w:t>Frequent monitoring of phonics to ensure high standard of delivery by all staff and SIP and external consultant feedback</w:t>
            </w:r>
          </w:p>
          <w:p w14:paraId="2A7D551B" w14:textId="0AE7F72A"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75B865A" w:rsidR="00E66558" w:rsidRDefault="00601EA6">
            <w:pPr>
              <w:pStyle w:val="TableRowCentered"/>
              <w:jc w:val="left"/>
              <w:rPr>
                <w:sz w:val="22"/>
              </w:rPr>
            </w:pPr>
            <w:r>
              <w:rPr>
                <w:sz w:val="22"/>
              </w:rPr>
              <w:t>2 &amp; 3</w:t>
            </w:r>
          </w:p>
        </w:tc>
      </w:tr>
      <w:tr w:rsidR="00E66558" w14:paraId="2A7D5521" w14:textId="77777777" w:rsidTr="00C3022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16E8" w14:textId="188E817E" w:rsidR="00257387" w:rsidRDefault="009B457A" w:rsidP="00257387">
            <w:pPr>
              <w:pStyle w:val="7Tablebodybulleted"/>
              <w:numPr>
                <w:ilvl w:val="0"/>
                <w:numId w:val="0"/>
              </w:numPr>
            </w:pPr>
            <w:r>
              <w:t>Training and modeling</w:t>
            </w:r>
            <w:r w:rsidR="00C30227">
              <w:t xml:space="preserve"> in lessons and staff meetings </w:t>
            </w:r>
            <w:r>
              <w:t>to embed</w:t>
            </w:r>
            <w:r w:rsidR="00257387">
              <w:t xml:space="preserve"> concrete, abstract and </w:t>
            </w:r>
            <w:proofErr w:type="spellStart"/>
            <w:r w:rsidR="00257387">
              <w:t>pictoral</w:t>
            </w:r>
            <w:proofErr w:type="spellEnd"/>
            <w:r w:rsidR="00257387">
              <w:t xml:space="preserve"> methods and use of manipulatives to support learning</w:t>
            </w:r>
          </w:p>
          <w:p w14:paraId="32D89873" w14:textId="77777777" w:rsidR="00257387" w:rsidRDefault="00257387" w:rsidP="00257387">
            <w:pPr>
              <w:pStyle w:val="7Tablebodybulleted"/>
              <w:numPr>
                <w:ilvl w:val="0"/>
                <w:numId w:val="0"/>
              </w:numPr>
            </w:pPr>
            <w:r>
              <w:t xml:space="preserve">Frequent monitoring of </w:t>
            </w:r>
            <w:proofErr w:type="spellStart"/>
            <w:r>
              <w:t>timestables</w:t>
            </w:r>
            <w:proofErr w:type="spellEnd"/>
            <w:r>
              <w:t xml:space="preserve"> to ensure high attainment in Y3 and Y4</w:t>
            </w:r>
          </w:p>
          <w:p w14:paraId="3A5D4945" w14:textId="69555C14" w:rsidR="00257387" w:rsidRDefault="00257387" w:rsidP="00257387">
            <w:pPr>
              <w:pStyle w:val="7Tablebodybulleted"/>
              <w:numPr>
                <w:ilvl w:val="0"/>
                <w:numId w:val="0"/>
              </w:numPr>
            </w:pPr>
            <w:r>
              <w:t xml:space="preserve">English leads to monitor top 20% in </w:t>
            </w:r>
            <w:proofErr w:type="spellStart"/>
            <w:r>
              <w:t>maths</w:t>
            </w:r>
            <w:proofErr w:type="spellEnd"/>
            <w:r>
              <w:t xml:space="preserve"> (from previous </w:t>
            </w:r>
            <w:proofErr w:type="spellStart"/>
            <w:r>
              <w:t>keystage</w:t>
            </w:r>
            <w:proofErr w:type="spellEnd"/>
            <w:r>
              <w:t xml:space="preserve">) to ensure that they are achieving the higher standard </w:t>
            </w:r>
            <w:r w:rsidR="00196F4E">
              <w:t xml:space="preserve">and to ensure that PP pupils have the potential to achieve at the higher standard. </w:t>
            </w:r>
          </w:p>
          <w:p w14:paraId="2A7D551E" w14:textId="64A7380F" w:rsidR="00E66558" w:rsidRPr="00257387" w:rsidRDefault="00E66558" w:rsidP="00257387">
            <w:pPr>
              <w:pStyle w:val="TableRow"/>
              <w:rPr>
                <w:sz w:val="22"/>
                <w:lang w:val="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8DFB588" w:rsidR="00E66558" w:rsidRPr="00C30227" w:rsidRDefault="00196F4E">
            <w:pPr>
              <w:pStyle w:val="TableRowCentered"/>
              <w:jc w:val="left"/>
              <w:rPr>
                <w:sz w:val="20"/>
              </w:rPr>
            </w:pPr>
            <w:r w:rsidRPr="00C30227">
              <w:rPr>
                <w:sz w:val="20"/>
              </w:rPr>
              <w:t>Lesson observations and book looks will show increased use of reasoning and end of year tests will show improvement in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009534D" w:rsidR="00E66558" w:rsidRDefault="009D71E8">
      <w:r>
        <w:t xml:space="preserve">Budgeted cost: £ </w:t>
      </w:r>
      <w:r w:rsidR="008D6F4D">
        <w:rPr>
          <w:i/>
          <w:iCs/>
        </w:rPr>
        <w:t>5876</w:t>
      </w:r>
    </w:p>
    <w:tbl>
      <w:tblPr>
        <w:tblW w:w="5000" w:type="pct"/>
        <w:tblLayout w:type="fixed"/>
        <w:tblCellMar>
          <w:left w:w="10" w:type="dxa"/>
          <w:right w:w="10" w:type="dxa"/>
        </w:tblCellMar>
        <w:tblLook w:val="04A0" w:firstRow="1" w:lastRow="0" w:firstColumn="1" w:lastColumn="0" w:noHBand="0" w:noVBand="1"/>
      </w:tblPr>
      <w:tblGrid>
        <w:gridCol w:w="3256"/>
        <w:gridCol w:w="4677"/>
        <w:gridCol w:w="1553"/>
      </w:tblGrid>
      <w:tr w:rsidR="00E66558" w14:paraId="2A7D5528" w14:textId="77777777" w:rsidTr="008D6F4D">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8D6F4D">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E29F4" w14:textId="2B450E79" w:rsidR="0019441E" w:rsidRPr="00937072" w:rsidRDefault="005A7194" w:rsidP="00937072">
            <w:pPr>
              <w:pStyle w:val="7Tablebodybulleted"/>
              <w:numPr>
                <w:ilvl w:val="0"/>
                <w:numId w:val="0"/>
              </w:numPr>
              <w:jc w:val="center"/>
              <w:rPr>
                <w:b/>
                <w:u w:val="single"/>
              </w:rPr>
            </w:pPr>
            <w:r>
              <w:rPr>
                <w:b/>
                <w:u w:val="single"/>
              </w:rPr>
              <w:t>English</w:t>
            </w:r>
          </w:p>
          <w:p w14:paraId="449AA1B9" w14:textId="77777777" w:rsidR="00686B7C" w:rsidRDefault="00686B7C" w:rsidP="00686B7C">
            <w:pPr>
              <w:pStyle w:val="7Tablebodybulleted"/>
              <w:numPr>
                <w:ilvl w:val="0"/>
                <w:numId w:val="0"/>
              </w:numPr>
            </w:pPr>
            <w:r>
              <w:t xml:space="preserve">SLT and English leads to listen to readers as part of monitoring process </w:t>
            </w:r>
          </w:p>
          <w:p w14:paraId="7B3B0015" w14:textId="77777777" w:rsidR="00686B7C" w:rsidRDefault="00686B7C" w:rsidP="00686B7C">
            <w:pPr>
              <w:pStyle w:val="7Tablebodybulleted"/>
              <w:numPr>
                <w:ilvl w:val="0"/>
                <w:numId w:val="0"/>
              </w:numPr>
            </w:pPr>
            <w:r>
              <w:t xml:space="preserve">English leads to monitor top 20% in reading to ensure that they are achieving the higher standard </w:t>
            </w:r>
          </w:p>
          <w:p w14:paraId="217F2994" w14:textId="31A98E62" w:rsidR="00686B7C" w:rsidRDefault="00686B7C" w:rsidP="00686B7C">
            <w:pPr>
              <w:pStyle w:val="7Tablebodybulleted"/>
              <w:numPr>
                <w:ilvl w:val="0"/>
                <w:numId w:val="0"/>
              </w:numPr>
            </w:pPr>
            <w:r>
              <w:t>Booster sessions to focus on inference</w:t>
            </w:r>
            <w:r w:rsidR="00937072">
              <w:t xml:space="preserve"> with KS2 classes</w:t>
            </w:r>
          </w:p>
          <w:p w14:paraId="266AE7A9" w14:textId="73DD33EA" w:rsidR="00686B7C" w:rsidRDefault="00686B7C" w:rsidP="00686B7C">
            <w:pPr>
              <w:pStyle w:val="7Tablebodybulleted"/>
              <w:numPr>
                <w:ilvl w:val="0"/>
                <w:numId w:val="0"/>
              </w:numPr>
            </w:pPr>
            <w:r>
              <w:br/>
              <w:t>Boost reading opportunities for PP pupils to ensure that they are exposed to a wider vocabulary</w:t>
            </w:r>
            <w:r w:rsidR="0051041E">
              <w:t xml:space="preserve"> with daily reading booster for </w:t>
            </w:r>
            <w:r w:rsidR="00937072">
              <w:t>group of KS1</w:t>
            </w:r>
            <w:r w:rsidR="0051041E">
              <w:t xml:space="preserve"> children </w:t>
            </w:r>
          </w:p>
          <w:p w14:paraId="081D7B71" w14:textId="3E314987" w:rsidR="000E4EEF" w:rsidRDefault="000E4EEF" w:rsidP="00686B7C">
            <w:pPr>
              <w:pStyle w:val="7Tablebodybulleted"/>
              <w:numPr>
                <w:ilvl w:val="0"/>
                <w:numId w:val="0"/>
              </w:numPr>
            </w:pPr>
            <w:r>
              <w:t xml:space="preserve">CPD for writing with Literacy Counts </w:t>
            </w:r>
          </w:p>
          <w:p w14:paraId="2A7D5529" w14:textId="07EB5201" w:rsidR="00E66558" w:rsidRPr="00686B7C" w:rsidRDefault="005A7194" w:rsidP="00B27592">
            <w:pPr>
              <w:pStyle w:val="7Tablebodybulleted"/>
              <w:numPr>
                <w:ilvl w:val="0"/>
                <w:numId w:val="0"/>
              </w:numPr>
            </w:pPr>
            <w:r>
              <w:t>10 children to work with the school</w:t>
            </w:r>
            <w:r w:rsidR="000E4EEF">
              <w:t xml:space="preserve"> led tutor on writing and </w:t>
            </w:r>
            <w:proofErr w:type="spellStart"/>
            <w:r w:rsidR="000E4EEF">
              <w:t>maths</w:t>
            </w:r>
            <w:proofErr w:type="spellEnd"/>
            <w:r w:rsidR="000E4EEF">
              <w:t xml:space="preserve">, in small groups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B410C" w14:textId="77777777" w:rsidR="00B27592" w:rsidRDefault="00B27592" w:rsidP="00686B7C">
            <w:pPr>
              <w:pStyle w:val="7Tablebodybulleted"/>
              <w:numPr>
                <w:ilvl w:val="0"/>
                <w:numId w:val="0"/>
              </w:numPr>
              <w:ind w:right="27"/>
            </w:pPr>
          </w:p>
          <w:p w14:paraId="649D9258" w14:textId="77BE5186" w:rsidR="00686B7C" w:rsidRDefault="00686B7C" w:rsidP="00686B7C">
            <w:pPr>
              <w:pStyle w:val="7Tablebodybulleted"/>
              <w:numPr>
                <w:ilvl w:val="0"/>
                <w:numId w:val="0"/>
              </w:numPr>
              <w:ind w:right="27"/>
            </w:pPr>
            <w:r>
              <w:t xml:space="preserve">EEF research – Improving Literacy at KS2 (April 17) </w:t>
            </w:r>
          </w:p>
          <w:p w14:paraId="0C042B6A" w14:textId="77777777" w:rsidR="00686B7C" w:rsidRDefault="00686B7C" w:rsidP="00686B7C">
            <w:pPr>
              <w:pStyle w:val="7Tablebodybulleted"/>
              <w:numPr>
                <w:ilvl w:val="0"/>
                <w:numId w:val="0"/>
              </w:numPr>
              <w:ind w:right="27"/>
            </w:pPr>
          </w:p>
          <w:p w14:paraId="17023523" w14:textId="77777777" w:rsidR="00686B7C" w:rsidRDefault="00686B7C" w:rsidP="00686B7C">
            <w:pPr>
              <w:pStyle w:val="7Tablebodybulleted"/>
              <w:numPr>
                <w:ilvl w:val="0"/>
                <w:numId w:val="0"/>
              </w:numPr>
              <w:ind w:right="27"/>
            </w:pPr>
            <w:r>
              <w:t>Specialist support from literacy counts sharing good practice.</w:t>
            </w:r>
          </w:p>
          <w:p w14:paraId="01C6FF88" w14:textId="77777777" w:rsidR="0051041E" w:rsidRDefault="0051041E" w:rsidP="00686B7C">
            <w:pPr>
              <w:pStyle w:val="7Tablebodybulleted"/>
              <w:numPr>
                <w:ilvl w:val="0"/>
                <w:numId w:val="0"/>
              </w:numPr>
            </w:pPr>
          </w:p>
          <w:p w14:paraId="1734A32C" w14:textId="511A8757" w:rsidR="00686B7C" w:rsidRDefault="00686B7C" w:rsidP="00686B7C">
            <w:pPr>
              <w:pStyle w:val="7Tablebodybulleted"/>
              <w:numPr>
                <w:ilvl w:val="0"/>
                <w:numId w:val="0"/>
              </w:numPr>
            </w:pPr>
            <w:r>
              <w:t xml:space="preserve">Alex Quigley, ‘Closing the Reading Gap” </w:t>
            </w:r>
          </w:p>
          <w:p w14:paraId="2A7D552A" w14:textId="33F393D1" w:rsidR="00E66558" w:rsidRPr="00686B7C" w:rsidRDefault="00CE0523">
            <w:pPr>
              <w:pStyle w:val="TableRowCentered"/>
              <w:jc w:val="left"/>
              <w:rPr>
                <w:sz w:val="22"/>
                <w:lang w:val="en-US"/>
              </w:rPr>
            </w:pPr>
            <w:r>
              <w:rPr>
                <w:sz w:val="22"/>
                <w:lang w:val="en-US"/>
              </w:rPr>
              <w:t>EEF + 4 months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5A2A64D" w:rsidR="00E66558" w:rsidRDefault="00686B7C">
            <w:pPr>
              <w:pStyle w:val="TableRowCentered"/>
              <w:jc w:val="left"/>
              <w:rPr>
                <w:sz w:val="22"/>
              </w:rPr>
            </w:pPr>
            <w:r>
              <w:rPr>
                <w:sz w:val="22"/>
              </w:rPr>
              <w:t>2 &amp; 3</w:t>
            </w:r>
          </w:p>
        </w:tc>
      </w:tr>
      <w:tr w:rsidR="00E66558" w14:paraId="2A7D5530" w14:textId="77777777" w:rsidTr="008D6F4D">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30123" w14:textId="71FD124C" w:rsidR="0019441E" w:rsidRDefault="0019441E" w:rsidP="00937072">
            <w:pPr>
              <w:pStyle w:val="7Tablebodybulleted"/>
              <w:numPr>
                <w:ilvl w:val="0"/>
                <w:numId w:val="0"/>
              </w:numPr>
              <w:jc w:val="center"/>
            </w:pPr>
            <w:proofErr w:type="spellStart"/>
            <w:r w:rsidRPr="00937072">
              <w:rPr>
                <w:b/>
                <w:u w:val="single"/>
              </w:rPr>
              <w:t>Maths</w:t>
            </w:r>
            <w:proofErr w:type="spellEnd"/>
            <w:r>
              <w:t>:</w:t>
            </w:r>
          </w:p>
          <w:p w14:paraId="5B88BDCD" w14:textId="77777777" w:rsidR="00925C2D" w:rsidRDefault="00925C2D" w:rsidP="00925C2D">
            <w:pPr>
              <w:pStyle w:val="7Tablebodybulleted"/>
              <w:numPr>
                <w:ilvl w:val="0"/>
                <w:numId w:val="0"/>
              </w:numPr>
            </w:pPr>
            <w:r>
              <w:t xml:space="preserve">Booster sessions to focus on reasoning and to work through problem solving systematically </w:t>
            </w:r>
          </w:p>
          <w:p w14:paraId="4AC56C76" w14:textId="6DAD169C" w:rsidR="00925C2D" w:rsidRDefault="000E4EEF" w:rsidP="00925C2D">
            <w:pPr>
              <w:pStyle w:val="7Tablebodybulleted"/>
              <w:numPr>
                <w:ilvl w:val="0"/>
                <w:numId w:val="0"/>
              </w:numPr>
            </w:pPr>
            <w:r>
              <w:t>3</w:t>
            </w:r>
            <w:r w:rsidR="0019441E">
              <w:t xml:space="preserve"> interventions </w:t>
            </w:r>
            <w:r>
              <w:t>in class for  KS2 children</w:t>
            </w:r>
          </w:p>
          <w:p w14:paraId="2A7D552D" w14:textId="77777777" w:rsidR="00E66558" w:rsidRPr="00925C2D" w:rsidRDefault="00E66558">
            <w:pPr>
              <w:pStyle w:val="TableRow"/>
              <w:rPr>
                <w:i/>
                <w:sz w:val="22"/>
                <w:lang w:val="en-US"/>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1406D" w14:textId="77777777" w:rsidR="00925C2D" w:rsidRDefault="002A76FB" w:rsidP="00925C2D">
            <w:pPr>
              <w:pStyle w:val="7Tablebodybulleted"/>
              <w:numPr>
                <w:ilvl w:val="0"/>
                <w:numId w:val="0"/>
              </w:numPr>
              <w:ind w:right="27"/>
            </w:pPr>
            <w:hyperlink r:id="rId7" w:history="1">
              <w:r w:rsidR="00925C2D">
                <w:rPr>
                  <w:rStyle w:val="Hyperlink"/>
                </w:rPr>
                <w:t>5660_EEF_-_Maths_Guidance_RAG_v5.pdf</w:t>
              </w:r>
            </w:hyperlink>
          </w:p>
          <w:p w14:paraId="28E1694B" w14:textId="77777777" w:rsidR="00925C2D" w:rsidRDefault="00925C2D" w:rsidP="00925C2D">
            <w:pPr>
              <w:pStyle w:val="7Tablebodybulleted"/>
              <w:numPr>
                <w:ilvl w:val="0"/>
                <w:numId w:val="0"/>
              </w:numPr>
              <w:ind w:right="27"/>
            </w:pPr>
          </w:p>
          <w:p w14:paraId="2A7D552E" w14:textId="6A9137F6" w:rsidR="00E66558" w:rsidRDefault="002A76FB" w:rsidP="00925C2D">
            <w:pPr>
              <w:pStyle w:val="TableRowCentered"/>
              <w:jc w:val="left"/>
              <w:rPr>
                <w:sz w:val="22"/>
              </w:rPr>
            </w:pPr>
            <w:hyperlink r:id="rId8" w:history="1">
              <w:r w:rsidR="00925C2D">
                <w:rPr>
                  <w:rStyle w:val="Hyperlink"/>
                </w:rPr>
                <w:t>EEF_Maths_EY_KS1_Guidance_Report.pdf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8AB88FA" w:rsidR="00E66558" w:rsidRDefault="00925C2D">
            <w:pPr>
              <w:pStyle w:val="TableRowCentered"/>
              <w:jc w:val="left"/>
              <w:rPr>
                <w:sz w:val="22"/>
              </w:rPr>
            </w:pPr>
            <w:r>
              <w:rPr>
                <w:sz w:val="22"/>
              </w:rPr>
              <w:t>2 &amp; 3</w:t>
            </w:r>
          </w:p>
        </w:tc>
      </w:tr>
      <w:tr w:rsidR="0036539A" w14:paraId="135C1775" w14:textId="77777777" w:rsidTr="008D6F4D">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9FD15" w14:textId="77777777" w:rsidR="00B27592" w:rsidRDefault="00B27592" w:rsidP="00B27592">
            <w:pPr>
              <w:pStyle w:val="7Tablebodybulleted"/>
              <w:numPr>
                <w:ilvl w:val="0"/>
                <w:numId w:val="0"/>
              </w:numPr>
            </w:pPr>
            <w:r>
              <w:t>School-based tutoring funding booster sessions for PP (and other disadvantaged to include EAL, SEND and other) using 1:1 or small group sessions –mainly after school sessions so as not to impact other subjects.</w:t>
            </w:r>
          </w:p>
          <w:p w14:paraId="51ED24C9" w14:textId="77777777" w:rsidR="00B27592" w:rsidRDefault="00B27592" w:rsidP="0036539A">
            <w:pPr>
              <w:pStyle w:val="7Tablebodycopy"/>
            </w:pPr>
          </w:p>
          <w:p w14:paraId="77F90A87" w14:textId="66291A91" w:rsidR="0036539A" w:rsidRDefault="0036539A" w:rsidP="0036539A">
            <w:pPr>
              <w:pStyle w:val="7Tablebodycopy"/>
            </w:pPr>
            <w:r>
              <w:t xml:space="preserve">Small group interventions with </w:t>
            </w:r>
            <w:proofErr w:type="spellStart"/>
            <w:r>
              <w:t>TAs.</w:t>
            </w:r>
            <w:proofErr w:type="spellEnd"/>
          </w:p>
          <w:p w14:paraId="2815CB6A" w14:textId="77777777" w:rsidR="0036539A" w:rsidRDefault="0036539A" w:rsidP="0036539A">
            <w:pPr>
              <w:pStyle w:val="7Tablebodycopy"/>
            </w:pPr>
            <w:r>
              <w:t xml:space="preserve">1:1 interventions with </w:t>
            </w:r>
            <w:proofErr w:type="spellStart"/>
            <w:r>
              <w:t>TAs.</w:t>
            </w:r>
            <w:proofErr w:type="spellEnd"/>
          </w:p>
          <w:p w14:paraId="67296A69" w14:textId="5DA46015" w:rsidR="0036539A" w:rsidRDefault="0036539A" w:rsidP="001F0286">
            <w:pPr>
              <w:pStyle w:val="7Tablebodycopy"/>
              <w:jc w:val="center"/>
            </w:pPr>
          </w:p>
          <w:p w14:paraId="0606FFC4" w14:textId="7F5DF32B" w:rsidR="001F0286" w:rsidRDefault="001F0286" w:rsidP="001F0286">
            <w:pPr>
              <w:pStyle w:val="7Tablebodycopy"/>
              <w:jc w:val="center"/>
            </w:pPr>
          </w:p>
          <w:p w14:paraId="74FF51EE" w14:textId="70CB017E" w:rsidR="00363196" w:rsidRDefault="000E4EEF" w:rsidP="00363196">
            <w:pPr>
              <w:pStyle w:val="7Tablebodycopy"/>
            </w:pPr>
            <w:r>
              <w:lastRenderedPageBreak/>
              <w:t>Review and embedding</w:t>
            </w:r>
            <w:r w:rsidR="00363196">
              <w:t xml:space="preserve"> of spelling </w:t>
            </w:r>
            <w:r>
              <w:t xml:space="preserve">shed </w:t>
            </w:r>
            <w:r w:rsidR="00363196">
              <w:t>scheme to concentrate on KS2 phonics for 15 minutes per day with small group intervention for those who are at risk of falling behind.</w:t>
            </w:r>
          </w:p>
          <w:p w14:paraId="2EE21A22" w14:textId="0D92F603" w:rsidR="00363196" w:rsidRDefault="00363196" w:rsidP="0036539A">
            <w:pPr>
              <w:pStyle w:val="7Tablebodycopy"/>
            </w:pPr>
          </w:p>
          <w:p w14:paraId="50445FC8" w14:textId="77777777" w:rsidR="00F70FF9" w:rsidRDefault="00F70FF9" w:rsidP="00363196">
            <w:pPr>
              <w:pStyle w:val="7Tablebodycopy"/>
            </w:pPr>
          </w:p>
          <w:p w14:paraId="0B98DDDB" w14:textId="3B4B3BDD" w:rsidR="0036539A" w:rsidRDefault="0036539A" w:rsidP="00363196">
            <w:pPr>
              <w:pStyle w:val="7Tablebodycopy"/>
            </w:pPr>
            <w:r>
              <w:t>Pre-teaching of vocabulary to enable good progression and participation in who</w:t>
            </w:r>
            <w:r w:rsidR="001F0286">
              <w:t>le class /small group sessions.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5F4FC" w14:textId="77777777" w:rsidR="0036539A" w:rsidRPr="00BF515D" w:rsidRDefault="0036539A" w:rsidP="0036539A">
            <w:pPr>
              <w:pStyle w:val="7Tablebodycopy"/>
            </w:pPr>
            <w:r w:rsidRPr="00BF515D">
              <w:lastRenderedPageBreak/>
              <w:t>EEF  - small group tuition</w:t>
            </w:r>
          </w:p>
          <w:p w14:paraId="51A43C4A" w14:textId="40424757" w:rsidR="0036539A" w:rsidRDefault="002A76FB" w:rsidP="0036539A">
            <w:pPr>
              <w:pStyle w:val="7Tablebodybulleted"/>
              <w:numPr>
                <w:ilvl w:val="0"/>
                <w:numId w:val="0"/>
              </w:numPr>
              <w:ind w:right="27"/>
            </w:pPr>
            <w:hyperlink r:id="rId9" w:history="1">
              <w:r w:rsidR="0036539A">
                <w:rPr>
                  <w:rStyle w:val="Hyperlink"/>
                </w:rPr>
                <w:t>https://educationendowmentfoundation.org.uk/evidence-summaries/teaching-learning-toolkit/small-group-tuition/</w:t>
              </w:r>
            </w:hyperlink>
          </w:p>
          <w:p w14:paraId="49B79E7C" w14:textId="0C11E3EB" w:rsidR="001F0286" w:rsidRDefault="001F0286" w:rsidP="0036539A">
            <w:pPr>
              <w:pStyle w:val="7Tablebodybulleted"/>
              <w:numPr>
                <w:ilvl w:val="0"/>
                <w:numId w:val="0"/>
              </w:numPr>
              <w:ind w:right="27"/>
            </w:pPr>
          </w:p>
          <w:p w14:paraId="25615C9B" w14:textId="77777777" w:rsidR="001F0286" w:rsidRDefault="001F0286" w:rsidP="0036539A">
            <w:pPr>
              <w:pStyle w:val="7Tablebodybulleted"/>
              <w:numPr>
                <w:ilvl w:val="0"/>
                <w:numId w:val="0"/>
              </w:numPr>
              <w:ind w:right="27"/>
            </w:pPr>
          </w:p>
          <w:p w14:paraId="6A1F7313" w14:textId="77777777" w:rsidR="00363196" w:rsidRDefault="00363196" w:rsidP="00363196">
            <w:pPr>
              <w:pStyle w:val="7Tablebodybulleted"/>
              <w:numPr>
                <w:ilvl w:val="0"/>
                <w:numId w:val="0"/>
              </w:numPr>
              <w:ind w:right="27"/>
            </w:pPr>
            <w:r>
              <w:t>1 to 1tuition supports the lowest 20% of each cohort to ‘catch up’ with their early reading focusing on the development of their decoding skills and increasing the fluency of their word reading. Groups no larger than 3</w:t>
            </w:r>
          </w:p>
          <w:p w14:paraId="39E64346" w14:textId="538EA127" w:rsidR="00363196" w:rsidRDefault="00363196" w:rsidP="00363196">
            <w:pPr>
              <w:pStyle w:val="7Tablebodybulleted"/>
              <w:numPr>
                <w:ilvl w:val="0"/>
                <w:numId w:val="0"/>
              </w:numPr>
              <w:ind w:right="27"/>
            </w:pPr>
            <w:r>
              <w:t>EEF Impact = +5</w:t>
            </w:r>
          </w:p>
          <w:p w14:paraId="0AE662A8" w14:textId="0E36C540" w:rsidR="00363196" w:rsidRDefault="00363196" w:rsidP="0036539A">
            <w:pPr>
              <w:pStyle w:val="7Tablebodybulleted"/>
              <w:numPr>
                <w:ilvl w:val="0"/>
                <w:numId w:val="0"/>
              </w:numPr>
              <w:ind w:right="27"/>
            </w:pPr>
          </w:p>
          <w:p w14:paraId="6639EFCE" w14:textId="0EB8A402" w:rsidR="00CE0523" w:rsidRDefault="00CE0523" w:rsidP="0036539A">
            <w:pPr>
              <w:pStyle w:val="7Tablebodybulleted"/>
              <w:numPr>
                <w:ilvl w:val="0"/>
                <w:numId w:val="0"/>
              </w:numPr>
              <w:ind w:right="27"/>
            </w:pPr>
          </w:p>
          <w:p w14:paraId="213ADA0B" w14:textId="226A13C4" w:rsidR="0036539A" w:rsidRDefault="002A76FB" w:rsidP="0036539A">
            <w:pPr>
              <w:pStyle w:val="7Tablebodybulleted"/>
              <w:numPr>
                <w:ilvl w:val="0"/>
                <w:numId w:val="0"/>
              </w:numPr>
              <w:ind w:right="27"/>
            </w:pPr>
            <w:hyperlink r:id="rId10" w:history="1">
              <w:r w:rsidR="0036539A">
                <w:rPr>
                  <w:rStyle w:val="Hyperlink"/>
                </w:rPr>
                <w:t>https://educationendowmentfoundation.org.uk/projects-and-evaluation/projects/reflected-meta-cognition/</w:t>
              </w:r>
            </w:hyperlink>
          </w:p>
          <w:p w14:paraId="0283E39E" w14:textId="6885DE6C" w:rsidR="0036539A" w:rsidRDefault="0036539A" w:rsidP="0036539A">
            <w:pPr>
              <w:pStyle w:val="7Tablebodybulleted"/>
              <w:numPr>
                <w:ilvl w:val="0"/>
                <w:numId w:val="0"/>
              </w:numPr>
              <w:ind w:right="27"/>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FDBB3" w14:textId="4C50841C" w:rsidR="0036539A" w:rsidRDefault="0036539A" w:rsidP="0036539A">
            <w:pPr>
              <w:pStyle w:val="TableRowCentered"/>
              <w:jc w:val="left"/>
              <w:rPr>
                <w:sz w:val="22"/>
              </w:rPr>
            </w:pPr>
            <w:r>
              <w:rPr>
                <w:sz w:val="22"/>
              </w:rPr>
              <w:lastRenderedPageBreak/>
              <w:t>2 &amp; 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A50B3D5" w:rsidR="00E66558" w:rsidRDefault="009D71E8">
      <w:pPr>
        <w:spacing w:before="240" w:after="120"/>
      </w:pPr>
      <w:r>
        <w:t xml:space="preserve">Budgeted cost: £ </w:t>
      </w:r>
      <w:r w:rsidR="008D6F4D">
        <w:t>15830</w:t>
      </w:r>
    </w:p>
    <w:tbl>
      <w:tblPr>
        <w:tblW w:w="5000" w:type="pct"/>
        <w:tblCellMar>
          <w:left w:w="10" w:type="dxa"/>
          <w:right w:w="10" w:type="dxa"/>
        </w:tblCellMar>
        <w:tblLook w:val="04A0" w:firstRow="1" w:lastRow="0" w:firstColumn="1" w:lastColumn="0" w:noHBand="0" w:noVBand="1"/>
      </w:tblPr>
      <w:tblGrid>
        <w:gridCol w:w="3397"/>
        <w:gridCol w:w="3545"/>
        <w:gridCol w:w="2544"/>
      </w:tblGrid>
      <w:tr w:rsidR="00E66558" w14:paraId="2A7D5537" w14:textId="77777777" w:rsidTr="008D6F4D">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32CD8" w14:paraId="2A7D553B" w14:textId="77777777" w:rsidTr="008D6F4D">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D4934" w14:textId="77777777" w:rsidR="00632CD8" w:rsidRDefault="00632CD8" w:rsidP="00632CD8">
            <w:pPr>
              <w:pStyle w:val="7Tablebodybulleted"/>
              <w:numPr>
                <w:ilvl w:val="0"/>
                <w:numId w:val="0"/>
              </w:numPr>
            </w:pPr>
            <w:r>
              <w:t xml:space="preserve">HT and dedicated attendance manager to implement robust system of response to absence. </w:t>
            </w:r>
          </w:p>
          <w:p w14:paraId="5CCE4A3F" w14:textId="367EA588" w:rsidR="00632CD8" w:rsidRDefault="00CE0523" w:rsidP="00632CD8">
            <w:pPr>
              <w:pStyle w:val="7Tablebodybulleted"/>
              <w:numPr>
                <w:ilvl w:val="0"/>
                <w:numId w:val="0"/>
              </w:numPr>
            </w:pPr>
            <w:r>
              <w:t>HT to continue to c</w:t>
            </w:r>
            <w:r w:rsidR="00632CD8">
              <w:t xml:space="preserve">omplete home visits for pupils if no contact is made with parents. </w:t>
            </w:r>
          </w:p>
          <w:p w14:paraId="7103448D" w14:textId="77777777" w:rsidR="00632CD8" w:rsidRDefault="00632CD8" w:rsidP="00632CD8">
            <w:pPr>
              <w:pStyle w:val="7Tablebodybulleted"/>
              <w:numPr>
                <w:ilvl w:val="0"/>
                <w:numId w:val="0"/>
              </w:numPr>
            </w:pPr>
            <w:r>
              <w:t>HT to meet EWO each term to discuss pupils and families.</w:t>
            </w:r>
          </w:p>
          <w:p w14:paraId="2569C41E" w14:textId="4CFC920B" w:rsidR="00632CD8" w:rsidRDefault="00632CD8" w:rsidP="00632CD8">
            <w:pPr>
              <w:pStyle w:val="7Tablebodybulleted"/>
              <w:numPr>
                <w:ilvl w:val="0"/>
                <w:numId w:val="0"/>
              </w:numPr>
            </w:pPr>
            <w:r>
              <w:t>HT to is</w:t>
            </w:r>
            <w:r w:rsidR="00CE0523">
              <w:t>sue attendance awards each term (when appropriate following COVID)</w:t>
            </w:r>
          </w:p>
          <w:p w14:paraId="65958624" w14:textId="70C360E1" w:rsidR="00632CD8" w:rsidRDefault="00632CD8" w:rsidP="00632CD8">
            <w:pPr>
              <w:pStyle w:val="7Tablebodybulleted"/>
              <w:numPr>
                <w:ilvl w:val="0"/>
                <w:numId w:val="0"/>
              </w:numPr>
            </w:pPr>
            <w:r>
              <w:t xml:space="preserve">Weekly class awards for best and most improved.  </w:t>
            </w:r>
            <w:r w:rsidR="00CE0523">
              <w:t>(when appropriate following COVID)</w:t>
            </w:r>
          </w:p>
          <w:p w14:paraId="34480BB7" w14:textId="60958155" w:rsidR="00632CD8" w:rsidRDefault="003444F6" w:rsidP="00632CD8">
            <w:pPr>
              <w:pStyle w:val="7Tablebodybulleted"/>
              <w:numPr>
                <w:ilvl w:val="0"/>
                <w:numId w:val="0"/>
              </w:numPr>
            </w:pPr>
            <w:r>
              <w:t xml:space="preserve">Continue to begin </w:t>
            </w:r>
            <w:r w:rsidR="00632CD8">
              <w:t>Early Help assessments with HT (and health or social team where appropriate) for families who need extra support</w:t>
            </w:r>
          </w:p>
          <w:p w14:paraId="2A7D5538" w14:textId="21E6E62B" w:rsidR="00632CD8" w:rsidRPr="00632CD8" w:rsidRDefault="003444F6" w:rsidP="00F30B1D">
            <w:pPr>
              <w:pStyle w:val="TableRow"/>
              <w:ind w:left="0"/>
              <w:rPr>
                <w:sz w:val="20"/>
                <w:szCs w:val="20"/>
              </w:rPr>
            </w:pPr>
            <w:r>
              <w:rPr>
                <w:sz w:val="20"/>
                <w:szCs w:val="20"/>
                <w:lang w:val="en-US"/>
              </w:rPr>
              <w:t xml:space="preserve">Continue to take </w:t>
            </w:r>
            <w:proofErr w:type="spellStart"/>
            <w:r>
              <w:rPr>
                <w:sz w:val="20"/>
                <w:szCs w:val="20"/>
                <w:lang w:val="en-US"/>
              </w:rPr>
              <w:t>i</w:t>
            </w:r>
            <w:r w:rsidR="00632CD8" w:rsidRPr="00632CD8">
              <w:rPr>
                <w:sz w:val="20"/>
                <w:szCs w:val="20"/>
              </w:rPr>
              <w:t>nput</w:t>
            </w:r>
            <w:proofErr w:type="spellEnd"/>
            <w:r w:rsidR="00632CD8" w:rsidRPr="00632CD8">
              <w:rPr>
                <w:sz w:val="20"/>
                <w:szCs w:val="20"/>
              </w:rPr>
              <w:t xml:space="preserve"> from Emotionally Healthy Schools with </w:t>
            </w:r>
            <w:proofErr w:type="spellStart"/>
            <w:r w:rsidR="00632CD8" w:rsidRPr="00632CD8">
              <w:rPr>
                <w:sz w:val="20"/>
                <w:szCs w:val="20"/>
              </w:rPr>
              <w:t>SENDCo</w:t>
            </w:r>
            <w:proofErr w:type="spellEnd"/>
            <w:r w:rsidR="007D5B4E">
              <w:rPr>
                <w:sz w:val="20"/>
                <w:szCs w:val="20"/>
              </w:rPr>
              <w:t xml:space="preserve"> to support all pupils with attendance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1981172" w:rsidR="00632CD8" w:rsidRDefault="00632CD8" w:rsidP="00632CD8">
            <w:pPr>
              <w:pStyle w:val="TableRowCentered"/>
              <w:jc w:val="left"/>
              <w:rPr>
                <w:sz w:val="22"/>
              </w:rPr>
            </w:pPr>
            <w:r>
              <w:t xml:space="preserve">The </w:t>
            </w:r>
            <w:proofErr w:type="spellStart"/>
            <w:r>
              <w:t>DfE</w:t>
            </w:r>
            <w:proofErr w:type="spellEnd"/>
            <w:r>
              <w:t xml:space="preserve"> report: link between attendance and attainment at KS2 and KS4 - March 2016 …in general, the higher the overall absence rate across the KS, the lower the likely level of attainment at the end of KS2. The accompanying text says: ... pupils with no absence are 1.3 times more likely to achieve level 4 or above, and 3.1 times more likely to achieve level 5 or above, than pupils that missed 10- 15 per cent of all sessions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1E23787" w:rsidR="00632CD8" w:rsidRDefault="00632CD8" w:rsidP="00632CD8">
            <w:pPr>
              <w:pStyle w:val="TableRowCentered"/>
              <w:jc w:val="left"/>
              <w:rPr>
                <w:sz w:val="22"/>
              </w:rPr>
            </w:pPr>
            <w:r>
              <w:rPr>
                <w:sz w:val="22"/>
              </w:rPr>
              <w:t>4</w:t>
            </w:r>
          </w:p>
        </w:tc>
      </w:tr>
      <w:tr w:rsidR="00632CD8" w14:paraId="2A7D553F" w14:textId="77777777" w:rsidTr="008D6F4D">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9E2E00D" w:rsidR="00632CD8" w:rsidRPr="00284701" w:rsidRDefault="0036539A" w:rsidP="00284701">
            <w:pPr>
              <w:pStyle w:val="7Tablebodycopy"/>
            </w:pPr>
            <w:r>
              <w:t>Provide access</w:t>
            </w:r>
            <w:r w:rsidR="007D5B4E">
              <w:t xml:space="preserve"> to high quality </w:t>
            </w:r>
            <w:r>
              <w:t>residential and school trips</w:t>
            </w:r>
            <w:r w:rsidR="007D5B4E">
              <w:t xml:space="preserve">, Out of school clubs, </w:t>
            </w:r>
            <w:r>
              <w:t xml:space="preserve">Visiting specialists, art groups, musicians, drama groups, pantomimes </w:t>
            </w:r>
            <w:proofErr w:type="spellStart"/>
            <w:r>
              <w:t>etc</w:t>
            </w:r>
            <w:proofErr w:type="spellEnd"/>
            <w:r>
              <w:t xml:space="preserve"> </w:t>
            </w:r>
            <w:r w:rsidR="007D5B4E">
              <w:t>to give PP pupils the same opportunities as their peers.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A6467BB" w:rsidR="00632CD8" w:rsidRDefault="0036539A" w:rsidP="00632CD8">
            <w:pPr>
              <w:pStyle w:val="TableRowCentered"/>
              <w:jc w:val="left"/>
              <w:rPr>
                <w:sz w:val="22"/>
              </w:rPr>
            </w:pPr>
            <w:r>
              <w:t>EEF toolkit – enrichment in the form of; sports, arts, outdoor adventure learning are shown to have +2 or +4 months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EBAF8CE" w:rsidR="00632CD8" w:rsidRDefault="00D71469" w:rsidP="00632CD8">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6C389320" w:rsidR="00E66558" w:rsidRDefault="009D71E8" w:rsidP="00120AB1">
      <w:r>
        <w:rPr>
          <w:b/>
          <w:bCs/>
          <w:color w:val="104F75"/>
          <w:sz w:val="28"/>
          <w:szCs w:val="28"/>
        </w:rPr>
        <w:t xml:space="preserve">Total budgeted cost: £ </w:t>
      </w:r>
      <w:r w:rsidR="008D6F4D">
        <w:rPr>
          <w:i/>
          <w:iCs/>
          <w:color w:val="104F75"/>
          <w:sz w:val="28"/>
          <w:szCs w:val="28"/>
        </w:rPr>
        <w:t>58322</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75B0F484" w14:textId="7BD39E6C" w:rsidR="00F52CC2" w:rsidRDefault="009D71E8">
      <w:r>
        <w:t>This details the impact that our pupil premium activity had on pupils in the 202</w:t>
      </w:r>
      <w:r w:rsidR="00394907">
        <w:t>1</w:t>
      </w:r>
      <w:r>
        <w:t xml:space="preserve"> to 202</w:t>
      </w:r>
      <w:r w:rsidR="00394907">
        <w:t>2</w:t>
      </w:r>
      <w:r>
        <w:t xml:space="preserve"> academic year.</w:t>
      </w:r>
    </w:p>
    <w:p w14:paraId="0E3BE00C" w14:textId="651BF665" w:rsidR="00394907" w:rsidRDefault="00394907"/>
    <w:tbl>
      <w:tblPr>
        <w:tblW w:w="5530" w:type="pct"/>
        <w:tblInd w:w="-431" w:type="dxa"/>
        <w:tblCellMar>
          <w:left w:w="10" w:type="dxa"/>
          <w:right w:w="10" w:type="dxa"/>
        </w:tblCellMar>
        <w:tblLook w:val="04A0" w:firstRow="1" w:lastRow="0" w:firstColumn="1" w:lastColumn="0" w:noHBand="0" w:noVBand="1"/>
      </w:tblPr>
      <w:tblGrid>
        <w:gridCol w:w="2554"/>
        <w:gridCol w:w="3827"/>
        <w:gridCol w:w="4111"/>
      </w:tblGrid>
      <w:tr w:rsidR="00394907" w14:paraId="3CD23759" w14:textId="4832FAA5" w:rsidTr="008329D8">
        <w:tc>
          <w:tcPr>
            <w:tcW w:w="2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FAC6247" w14:textId="77777777" w:rsidR="00394907" w:rsidRDefault="00394907" w:rsidP="006A2272">
            <w:pPr>
              <w:pStyle w:val="TableHeader"/>
              <w:jc w:val="left"/>
            </w:pPr>
            <w:r>
              <w:t>Intended outcome</w:t>
            </w:r>
          </w:p>
        </w:tc>
        <w:tc>
          <w:tcPr>
            <w:tcW w:w="38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34302E2" w14:textId="77777777" w:rsidR="00394907" w:rsidRDefault="00394907" w:rsidP="006A2272">
            <w:pPr>
              <w:pStyle w:val="TableHeader"/>
              <w:jc w:val="left"/>
            </w:pPr>
            <w:r>
              <w:t>Success criteria</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Pr>
          <w:p w14:paraId="66C65C43" w14:textId="43501097" w:rsidR="00394907" w:rsidRDefault="00394907" w:rsidP="006A2272">
            <w:pPr>
              <w:pStyle w:val="TableHeader"/>
              <w:jc w:val="left"/>
            </w:pPr>
            <w:r>
              <w:t xml:space="preserve">Impact </w:t>
            </w:r>
          </w:p>
        </w:tc>
      </w:tr>
      <w:tr w:rsidR="00394907" w14:paraId="41BA6555" w14:textId="62CE6BC0" w:rsidTr="008329D8">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2215B" w14:textId="77777777" w:rsidR="00394907" w:rsidRPr="00755C9C" w:rsidRDefault="00394907" w:rsidP="006A2272">
            <w:pPr>
              <w:pStyle w:val="TableRow"/>
              <w:rPr>
                <w:rFonts w:cs="Arial"/>
              </w:rPr>
            </w:pPr>
            <w:r>
              <w:rPr>
                <w:rFonts w:cs="Arial"/>
              </w:rPr>
              <w:t xml:space="preserve">To </w:t>
            </w:r>
            <w:r w:rsidRPr="00755C9C">
              <w:rPr>
                <w:rFonts w:cs="Arial"/>
              </w:rPr>
              <w:t xml:space="preserve">improve the attendance of PP pupils.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6370B" w14:textId="0DCFC40C" w:rsidR="00394907" w:rsidRPr="006A2272" w:rsidRDefault="00394907" w:rsidP="006A2272">
            <w:pPr>
              <w:pStyle w:val="TableRowCentered"/>
              <w:jc w:val="left"/>
              <w:rPr>
                <w:rFonts w:cs="Arial"/>
                <w:sz w:val="20"/>
              </w:rPr>
            </w:pPr>
            <w:r w:rsidRPr="006A2272">
              <w:rPr>
                <w:rFonts w:cs="Arial"/>
                <w:sz w:val="20"/>
              </w:rPr>
              <w:t>The attendance of PP pupils will be equal to or above that of the non-pp pupils (</w:t>
            </w:r>
            <w:r w:rsidR="00931902" w:rsidRPr="006A2272">
              <w:rPr>
                <w:sz w:val="20"/>
              </w:rPr>
              <w:t>94.27% PP pupils   v 96% of non-pp)</w:t>
            </w:r>
            <w:r w:rsidRPr="006A2272">
              <w:rPr>
                <w:rFonts w:cs="Arial"/>
                <w:sz w:val="20"/>
              </w:rPr>
              <w:br/>
              <w:t xml:space="preserve">School attendance will exceed the national </w:t>
            </w:r>
          </w:p>
        </w:tc>
        <w:tc>
          <w:tcPr>
            <w:tcW w:w="4111" w:type="dxa"/>
            <w:tcBorders>
              <w:top w:val="single" w:sz="4" w:space="0" w:color="000000"/>
              <w:left w:val="single" w:sz="4" w:space="0" w:color="000000"/>
              <w:bottom w:val="single" w:sz="4" w:space="0" w:color="000000"/>
              <w:right w:val="single" w:sz="4" w:space="0" w:color="000000"/>
            </w:tcBorders>
          </w:tcPr>
          <w:p w14:paraId="2655D21D" w14:textId="3EE78B19" w:rsidR="00394907" w:rsidRPr="006A2272" w:rsidRDefault="00931902" w:rsidP="006A2272">
            <w:pPr>
              <w:pStyle w:val="7Tablebodycopy"/>
              <w:rPr>
                <w:szCs w:val="20"/>
              </w:rPr>
            </w:pPr>
            <w:r w:rsidRPr="006A2272">
              <w:rPr>
                <w:rFonts w:cs="Arial"/>
                <w:szCs w:val="20"/>
              </w:rPr>
              <w:t xml:space="preserve">Attendance for the academic year: </w:t>
            </w:r>
            <w:r w:rsidRPr="006A2272">
              <w:rPr>
                <w:szCs w:val="20"/>
              </w:rPr>
              <w:t>93.8% and Pupil Premium 92.1%</w:t>
            </w:r>
          </w:p>
          <w:p w14:paraId="7351E633" w14:textId="77777777" w:rsidR="00931902" w:rsidRPr="006A2272" w:rsidRDefault="00931902" w:rsidP="006A2272">
            <w:pPr>
              <w:pStyle w:val="7Tablebodycopy"/>
              <w:rPr>
                <w:szCs w:val="20"/>
              </w:rPr>
            </w:pPr>
          </w:p>
          <w:p w14:paraId="240896CB" w14:textId="3A07B9C2" w:rsidR="00931902" w:rsidRPr="00755C9C" w:rsidRDefault="00931902" w:rsidP="006A2272">
            <w:pPr>
              <w:pStyle w:val="7Tablebodycopy"/>
              <w:rPr>
                <w:rFonts w:cs="Arial"/>
                <w:sz w:val="24"/>
              </w:rPr>
            </w:pPr>
            <w:r w:rsidRPr="00B3549F">
              <w:rPr>
                <w:color w:val="FFC000"/>
                <w:szCs w:val="20"/>
              </w:rPr>
              <w:t>Attendance of both has fallen but the difference has diminished. See HT report for full attendance data</w:t>
            </w:r>
          </w:p>
        </w:tc>
      </w:tr>
      <w:tr w:rsidR="00394907" w14:paraId="77C17AD0" w14:textId="788DAEC0" w:rsidTr="008329D8">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3A88" w14:textId="77777777" w:rsidR="00394907" w:rsidRPr="00755C9C" w:rsidRDefault="00394907" w:rsidP="006A2272">
            <w:pPr>
              <w:pStyle w:val="TableRow"/>
              <w:ind w:left="0"/>
              <w:rPr>
                <w:rFonts w:cs="Arial"/>
              </w:rPr>
            </w:pPr>
            <w:r>
              <w:rPr>
                <w:rFonts w:cs="Arial"/>
              </w:rPr>
              <w:t>D</w:t>
            </w:r>
            <w:r w:rsidRPr="00755C9C">
              <w:rPr>
                <w:rFonts w:cs="Arial"/>
              </w:rPr>
              <w:t xml:space="preserve">iminish the difference between PP and non-PP attainment in writing and maths at the expected level.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84647" w14:textId="77777777" w:rsidR="00394907" w:rsidRDefault="00394907" w:rsidP="006A2272">
            <w:pPr>
              <w:pStyle w:val="7Tablebodycopy"/>
              <w:rPr>
                <w:rFonts w:cs="Arial"/>
                <w:sz w:val="24"/>
              </w:rPr>
            </w:pPr>
            <w:r w:rsidRPr="00755C9C">
              <w:rPr>
                <w:rFonts w:cs="Arial"/>
                <w:sz w:val="24"/>
              </w:rPr>
              <w:t xml:space="preserve">The difference in attainment between pupil premium and non-pupil premium groups is diminished in </w:t>
            </w:r>
            <w:proofErr w:type="spellStart"/>
            <w:r w:rsidRPr="00755C9C">
              <w:rPr>
                <w:rFonts w:cs="Arial"/>
                <w:sz w:val="24"/>
              </w:rPr>
              <w:t>maths</w:t>
            </w:r>
            <w:proofErr w:type="spellEnd"/>
            <w:r w:rsidRPr="00755C9C">
              <w:rPr>
                <w:rFonts w:cs="Arial"/>
                <w:sz w:val="24"/>
              </w:rPr>
              <w:t xml:space="preserve"> and writing </w:t>
            </w:r>
          </w:p>
          <w:p w14:paraId="629CE796" w14:textId="77777777" w:rsidR="00394907" w:rsidRDefault="00394907" w:rsidP="006A2272">
            <w:pPr>
              <w:pStyle w:val="7Tablebodycopy"/>
              <w:rPr>
                <w:rFonts w:cs="Arial"/>
                <w:sz w:val="24"/>
              </w:rPr>
            </w:pPr>
            <w:r>
              <w:rPr>
                <w:rFonts w:cs="Arial"/>
                <w:sz w:val="24"/>
              </w:rPr>
              <w:t xml:space="preserve">Year 6 - </w:t>
            </w:r>
          </w:p>
          <w:p w14:paraId="386D3E82" w14:textId="77777777" w:rsidR="00394907" w:rsidRPr="00755C9C" w:rsidRDefault="00394907" w:rsidP="006A2272">
            <w:pPr>
              <w:pStyle w:val="7Tablebodycopy"/>
              <w:rPr>
                <w:rFonts w:cs="Arial"/>
                <w:sz w:val="24"/>
              </w:rPr>
            </w:pPr>
          </w:p>
          <w:p w14:paraId="5203D2F9" w14:textId="77777777" w:rsidR="00394907" w:rsidRPr="00755C9C" w:rsidRDefault="00394907" w:rsidP="006A2272">
            <w:pPr>
              <w:pStyle w:val="TableRowCentered"/>
              <w:jc w:val="left"/>
              <w:rPr>
                <w:rFonts w:cs="Arial"/>
                <w:szCs w:val="24"/>
              </w:rPr>
            </w:pPr>
          </w:p>
        </w:tc>
        <w:tc>
          <w:tcPr>
            <w:tcW w:w="4111" w:type="dxa"/>
            <w:tcBorders>
              <w:top w:val="single" w:sz="4" w:space="0" w:color="000000"/>
              <w:left w:val="single" w:sz="4" w:space="0" w:color="000000"/>
              <w:bottom w:val="single" w:sz="4" w:space="0" w:color="000000"/>
              <w:right w:val="single" w:sz="4" w:space="0" w:color="000000"/>
            </w:tcBorders>
          </w:tcPr>
          <w:p w14:paraId="6C906C1A" w14:textId="77777777" w:rsidR="00B3549F" w:rsidRDefault="00B3549F" w:rsidP="006A2272">
            <w:pPr>
              <w:pStyle w:val="7Tablebodycopy"/>
              <w:rPr>
                <w:rFonts w:cs="Arial"/>
                <w:sz w:val="24"/>
              </w:rPr>
            </w:pPr>
            <w:r>
              <w:rPr>
                <w:rFonts w:cs="Arial"/>
                <w:sz w:val="24"/>
              </w:rPr>
              <w:t xml:space="preserve">year 6 2022: </w:t>
            </w:r>
          </w:p>
          <w:p w14:paraId="2A07CC87" w14:textId="7F9AB14A" w:rsidR="00394907" w:rsidRDefault="00B3549F" w:rsidP="006A2272">
            <w:pPr>
              <w:pStyle w:val="7Tablebodycopy"/>
              <w:rPr>
                <w:rFonts w:cs="Arial"/>
                <w:sz w:val="24"/>
              </w:rPr>
            </w:pPr>
            <w:r>
              <w:rPr>
                <w:rFonts w:cs="Arial"/>
                <w:sz w:val="24"/>
              </w:rPr>
              <w:t xml:space="preserve">Combined expected </w:t>
            </w:r>
          </w:p>
          <w:p w14:paraId="5C2DD086" w14:textId="130BFECF" w:rsidR="00B3549F" w:rsidRDefault="00B3549F" w:rsidP="006A2272">
            <w:pPr>
              <w:pStyle w:val="7Tablebodycopy"/>
              <w:rPr>
                <w:rFonts w:cs="Arial"/>
                <w:sz w:val="24"/>
              </w:rPr>
            </w:pPr>
            <w:r>
              <w:rPr>
                <w:rFonts w:cs="Arial"/>
                <w:sz w:val="24"/>
              </w:rPr>
              <w:t>Non PP –</w:t>
            </w:r>
            <w:r w:rsidR="007B736A">
              <w:rPr>
                <w:rFonts w:cs="Arial"/>
                <w:sz w:val="24"/>
              </w:rPr>
              <w:t xml:space="preserve"> 78</w:t>
            </w:r>
            <w:r>
              <w:rPr>
                <w:rFonts w:cs="Arial"/>
                <w:sz w:val="24"/>
              </w:rPr>
              <w:t>%</w:t>
            </w:r>
          </w:p>
          <w:p w14:paraId="7A47B607" w14:textId="2AC55ADB" w:rsidR="00B3549F" w:rsidRDefault="00B3549F" w:rsidP="006A2272">
            <w:pPr>
              <w:pStyle w:val="7Tablebodycopy"/>
              <w:rPr>
                <w:rFonts w:cs="Arial"/>
                <w:sz w:val="24"/>
              </w:rPr>
            </w:pPr>
            <w:r>
              <w:rPr>
                <w:rFonts w:cs="Arial"/>
                <w:sz w:val="24"/>
              </w:rPr>
              <w:t xml:space="preserve">PP – 75% </w:t>
            </w:r>
          </w:p>
          <w:p w14:paraId="703B3C47" w14:textId="3ED72AA7" w:rsidR="00B3549F" w:rsidRDefault="00B3549F" w:rsidP="006A2272">
            <w:pPr>
              <w:pStyle w:val="7Tablebodycopy"/>
              <w:rPr>
                <w:rFonts w:cs="Arial"/>
                <w:sz w:val="24"/>
              </w:rPr>
            </w:pPr>
          </w:p>
          <w:p w14:paraId="6E76071D" w14:textId="459ECC57" w:rsidR="00B3549F" w:rsidRPr="00EA597D" w:rsidRDefault="00B3549F" w:rsidP="00EA597D">
            <w:pPr>
              <w:pStyle w:val="7Tablebodycopy"/>
              <w:rPr>
                <w:rFonts w:cs="Arial"/>
                <w:color w:val="00B050"/>
                <w:sz w:val="24"/>
              </w:rPr>
            </w:pPr>
            <w:r w:rsidRPr="00B3549F">
              <w:rPr>
                <w:rFonts w:cs="Arial"/>
                <w:color w:val="00B050"/>
                <w:sz w:val="24"/>
              </w:rPr>
              <w:t xml:space="preserve">The </w:t>
            </w:r>
            <w:r w:rsidR="007B736A">
              <w:rPr>
                <w:rFonts w:cs="Arial"/>
                <w:color w:val="00B050"/>
                <w:sz w:val="24"/>
              </w:rPr>
              <w:t xml:space="preserve">difference has diminished and is in line with </w:t>
            </w:r>
            <w:r w:rsidR="00EA597D">
              <w:rPr>
                <w:rFonts w:cs="Arial"/>
                <w:color w:val="00B050"/>
                <w:sz w:val="24"/>
              </w:rPr>
              <w:t>Non PP</w:t>
            </w:r>
            <w:r w:rsidR="007B736A">
              <w:rPr>
                <w:rFonts w:cs="Arial"/>
                <w:color w:val="00B050"/>
                <w:sz w:val="24"/>
              </w:rPr>
              <w:t xml:space="preserve">. </w:t>
            </w:r>
            <w:r w:rsidRPr="00B3549F">
              <w:rPr>
                <w:rFonts w:cs="Arial"/>
                <w:color w:val="00B050"/>
                <w:sz w:val="24"/>
              </w:rPr>
              <w:t xml:space="preserve"> </w:t>
            </w:r>
          </w:p>
        </w:tc>
      </w:tr>
      <w:tr w:rsidR="00394907" w14:paraId="23A76825" w14:textId="40FBDE0B" w:rsidTr="008329D8">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16E07" w14:textId="77777777" w:rsidR="00394907" w:rsidRPr="00755C9C" w:rsidRDefault="00394907" w:rsidP="006A2272">
            <w:pPr>
              <w:pStyle w:val="TableRow"/>
              <w:rPr>
                <w:rFonts w:cs="Arial"/>
              </w:rPr>
            </w:pPr>
            <w:r w:rsidRPr="00755C9C">
              <w:rPr>
                <w:rFonts w:cs="Arial"/>
              </w:rPr>
              <w:t xml:space="preserve">To increase the percentage of PP pupils achieving the higher standing in Reading.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6F51B" w14:textId="77777777" w:rsidR="00394907" w:rsidRPr="00F27ED9" w:rsidRDefault="00394907" w:rsidP="006A2272">
            <w:pPr>
              <w:spacing w:line="226" w:lineRule="exact"/>
              <w:rPr>
                <w:rFonts w:cs="Arial"/>
              </w:rPr>
            </w:pPr>
            <w:r w:rsidRPr="00F27ED9">
              <w:rPr>
                <w:rFonts w:cs="Arial"/>
              </w:rPr>
              <w:t xml:space="preserve">The percentage of pupils achieving the higher standard in reading is closer to the non-PP percentage </w:t>
            </w:r>
          </w:p>
          <w:p w14:paraId="59660298" w14:textId="77777777" w:rsidR="00394907" w:rsidRPr="00F27ED9" w:rsidRDefault="00394907" w:rsidP="006A2272">
            <w:pPr>
              <w:spacing w:line="226" w:lineRule="exact"/>
              <w:rPr>
                <w:rFonts w:cs="Arial"/>
                <w:w w:val="98"/>
              </w:rPr>
            </w:pPr>
            <w:r w:rsidRPr="00F27ED9">
              <w:rPr>
                <w:rFonts w:cs="Arial"/>
                <w:w w:val="98"/>
              </w:rPr>
              <w:t>Year 4 – 29% to 37%</w:t>
            </w:r>
          </w:p>
          <w:p w14:paraId="397E6FBD" w14:textId="77777777" w:rsidR="00394907" w:rsidRPr="00F27ED9" w:rsidRDefault="00394907" w:rsidP="006A2272">
            <w:pPr>
              <w:spacing w:line="226" w:lineRule="exact"/>
              <w:rPr>
                <w:rFonts w:cs="Arial"/>
                <w:w w:val="98"/>
              </w:rPr>
            </w:pPr>
            <w:r w:rsidRPr="00F27ED9">
              <w:rPr>
                <w:rFonts w:cs="Arial"/>
                <w:w w:val="98"/>
              </w:rPr>
              <w:t>Year 3 – 0% v 13%</w:t>
            </w:r>
          </w:p>
          <w:p w14:paraId="42917C6D" w14:textId="77777777" w:rsidR="00394907" w:rsidRPr="00F27ED9" w:rsidRDefault="00394907" w:rsidP="006A2272">
            <w:pPr>
              <w:spacing w:line="226" w:lineRule="exact"/>
              <w:rPr>
                <w:rFonts w:cs="Arial"/>
                <w:w w:val="98"/>
              </w:rPr>
            </w:pPr>
            <w:r w:rsidRPr="00F27ED9">
              <w:rPr>
                <w:rFonts w:cs="Arial"/>
                <w:w w:val="98"/>
              </w:rPr>
              <w:t>Year 2 – 17% v 33%</w:t>
            </w:r>
          </w:p>
          <w:p w14:paraId="625F4879" w14:textId="77777777" w:rsidR="00394907" w:rsidRDefault="00394907" w:rsidP="006A2272">
            <w:pPr>
              <w:pStyle w:val="TableRowCentered"/>
              <w:jc w:val="left"/>
              <w:rPr>
                <w:rFonts w:cs="Arial"/>
                <w:w w:val="98"/>
                <w:szCs w:val="24"/>
              </w:rPr>
            </w:pPr>
            <w:r w:rsidRPr="00F27ED9">
              <w:rPr>
                <w:rFonts w:cs="Arial"/>
                <w:w w:val="98"/>
                <w:szCs w:val="24"/>
              </w:rPr>
              <w:t>Year 1 – 0% v 36%</w:t>
            </w:r>
            <w:r w:rsidRPr="00755C9C">
              <w:rPr>
                <w:rFonts w:cs="Arial"/>
                <w:w w:val="98"/>
                <w:szCs w:val="24"/>
              </w:rPr>
              <w:t xml:space="preserve"> </w:t>
            </w:r>
          </w:p>
          <w:p w14:paraId="7C6C32DA" w14:textId="77777777" w:rsidR="00394907" w:rsidRDefault="00394907" w:rsidP="006A2272">
            <w:pPr>
              <w:pStyle w:val="TableRowCentered"/>
              <w:jc w:val="left"/>
              <w:rPr>
                <w:rFonts w:cs="Arial"/>
                <w:w w:val="98"/>
                <w:szCs w:val="24"/>
              </w:rPr>
            </w:pPr>
          </w:p>
          <w:p w14:paraId="5DE7E0C9" w14:textId="4A743152" w:rsidR="00394907" w:rsidRPr="00755C9C" w:rsidRDefault="00394907" w:rsidP="00232057">
            <w:pPr>
              <w:pStyle w:val="TableRowCentered"/>
              <w:ind w:left="0"/>
              <w:jc w:val="left"/>
              <w:rPr>
                <w:rFonts w:cs="Arial"/>
                <w:szCs w:val="24"/>
              </w:rPr>
            </w:pPr>
          </w:p>
        </w:tc>
        <w:tc>
          <w:tcPr>
            <w:tcW w:w="4111" w:type="dxa"/>
            <w:tcBorders>
              <w:top w:val="single" w:sz="4" w:space="0" w:color="000000"/>
              <w:left w:val="single" w:sz="4" w:space="0" w:color="000000"/>
              <w:bottom w:val="single" w:sz="4" w:space="0" w:color="000000"/>
              <w:right w:val="single" w:sz="4" w:space="0" w:color="000000"/>
            </w:tcBorders>
          </w:tcPr>
          <w:p w14:paraId="3A089243" w14:textId="77777777" w:rsidR="007B736A" w:rsidRPr="00A254B1" w:rsidRDefault="00A254B1" w:rsidP="006A2272">
            <w:pPr>
              <w:spacing w:line="226" w:lineRule="exact"/>
              <w:rPr>
                <w:rFonts w:cs="Arial"/>
              </w:rPr>
            </w:pPr>
            <w:r w:rsidRPr="00A254B1">
              <w:rPr>
                <w:rFonts w:cs="Arial"/>
              </w:rPr>
              <w:t xml:space="preserve">Year 6 2022: </w:t>
            </w:r>
          </w:p>
          <w:p w14:paraId="43F855E0" w14:textId="392DEDEB" w:rsidR="00A254B1" w:rsidRPr="00A254B1" w:rsidRDefault="00A254B1" w:rsidP="006A2272">
            <w:pPr>
              <w:spacing w:line="226" w:lineRule="exact"/>
              <w:rPr>
                <w:rFonts w:cs="Arial"/>
                <w:color w:val="00B050"/>
              </w:rPr>
            </w:pPr>
            <w:r w:rsidRPr="00A254B1">
              <w:rPr>
                <w:rFonts w:cs="Arial"/>
                <w:color w:val="00B050"/>
              </w:rPr>
              <w:t xml:space="preserve">PP achieving at the higher level </w:t>
            </w:r>
            <w:r>
              <w:rPr>
                <w:rFonts w:cs="Arial"/>
                <w:color w:val="00B050"/>
              </w:rPr>
              <w:t>- 37.5%  (3/8)</w:t>
            </w:r>
          </w:p>
          <w:p w14:paraId="21DFEA5F" w14:textId="19E719E8" w:rsidR="00A254B1" w:rsidRDefault="00A254B1" w:rsidP="006A2272">
            <w:pPr>
              <w:spacing w:line="226" w:lineRule="exact"/>
              <w:rPr>
                <w:rFonts w:cs="Arial"/>
                <w:color w:val="00B050"/>
              </w:rPr>
            </w:pPr>
            <w:r w:rsidRPr="00A254B1">
              <w:rPr>
                <w:rFonts w:cs="Arial"/>
                <w:color w:val="00B050"/>
              </w:rPr>
              <w:t xml:space="preserve">Non PP – 22% </w:t>
            </w:r>
            <w:r>
              <w:rPr>
                <w:rFonts w:cs="Arial"/>
                <w:color w:val="00B050"/>
              </w:rPr>
              <w:t>(5/23)</w:t>
            </w:r>
          </w:p>
          <w:p w14:paraId="51D9A422" w14:textId="704D8264" w:rsidR="0045488F" w:rsidRPr="0045488F" w:rsidRDefault="0045488F" w:rsidP="006A2272">
            <w:pPr>
              <w:spacing w:line="226" w:lineRule="exact"/>
              <w:rPr>
                <w:rFonts w:cs="Arial"/>
                <w:color w:val="FF0000"/>
              </w:rPr>
            </w:pPr>
            <w:r w:rsidRPr="0045488F">
              <w:rPr>
                <w:rFonts w:cs="Arial"/>
                <w:color w:val="FF0000"/>
              </w:rPr>
              <w:t>Year 1: non pp – 18%</w:t>
            </w:r>
          </w:p>
          <w:p w14:paraId="211D11BB" w14:textId="1F4A6F1B" w:rsidR="0045488F" w:rsidRPr="0045488F" w:rsidRDefault="0045488F" w:rsidP="006A2272">
            <w:pPr>
              <w:spacing w:line="226" w:lineRule="exact"/>
              <w:rPr>
                <w:rFonts w:cs="Arial"/>
                <w:color w:val="FF0000"/>
              </w:rPr>
            </w:pPr>
            <w:r w:rsidRPr="0045488F">
              <w:rPr>
                <w:rFonts w:cs="Arial"/>
                <w:color w:val="FF0000"/>
              </w:rPr>
              <w:t xml:space="preserve">             pp – 0% </w:t>
            </w:r>
          </w:p>
          <w:p w14:paraId="31DF4737" w14:textId="541C1ECE" w:rsidR="0045488F" w:rsidRPr="0045488F" w:rsidRDefault="0045488F" w:rsidP="006A2272">
            <w:pPr>
              <w:spacing w:line="226" w:lineRule="exact"/>
              <w:rPr>
                <w:rFonts w:cs="Arial"/>
                <w:color w:val="FFC000"/>
              </w:rPr>
            </w:pPr>
            <w:r w:rsidRPr="0045488F">
              <w:rPr>
                <w:rFonts w:cs="Arial"/>
                <w:color w:val="FFC000"/>
              </w:rPr>
              <w:t>Year 2:  PP and Non PP – 0%</w:t>
            </w:r>
          </w:p>
          <w:p w14:paraId="563BB684" w14:textId="531CC2CB" w:rsidR="0045488F" w:rsidRDefault="0045488F" w:rsidP="006A2272">
            <w:pPr>
              <w:spacing w:line="226" w:lineRule="exact"/>
              <w:rPr>
                <w:rFonts w:cs="Arial"/>
                <w:color w:val="00B050"/>
              </w:rPr>
            </w:pPr>
            <w:r>
              <w:rPr>
                <w:rFonts w:cs="Arial"/>
                <w:color w:val="00B050"/>
              </w:rPr>
              <w:t>Year 3: PP – 55%</w:t>
            </w:r>
          </w:p>
          <w:p w14:paraId="1169D983" w14:textId="1D8E594A" w:rsidR="0045488F" w:rsidRDefault="0045488F" w:rsidP="006A2272">
            <w:pPr>
              <w:spacing w:line="226" w:lineRule="exact"/>
              <w:rPr>
                <w:rFonts w:cs="Arial"/>
                <w:color w:val="00B050"/>
              </w:rPr>
            </w:pPr>
            <w:r>
              <w:rPr>
                <w:rFonts w:cs="Arial"/>
                <w:color w:val="00B050"/>
              </w:rPr>
              <w:t xml:space="preserve">             Non –PP – 52%</w:t>
            </w:r>
          </w:p>
          <w:p w14:paraId="79043A7B" w14:textId="7B309F5A" w:rsidR="0045488F" w:rsidRDefault="0045488F" w:rsidP="006A2272">
            <w:pPr>
              <w:spacing w:line="226" w:lineRule="exact"/>
              <w:rPr>
                <w:rFonts w:cs="Arial"/>
                <w:color w:val="FF0000"/>
              </w:rPr>
            </w:pPr>
            <w:r w:rsidRPr="0045488F">
              <w:rPr>
                <w:rFonts w:cs="Arial"/>
                <w:color w:val="FF0000"/>
              </w:rPr>
              <w:t>Year 4</w:t>
            </w:r>
            <w:r>
              <w:rPr>
                <w:rFonts w:cs="Arial"/>
                <w:color w:val="FF0000"/>
              </w:rPr>
              <w:t xml:space="preserve"> Non PP – 59%</w:t>
            </w:r>
          </w:p>
          <w:p w14:paraId="135E46DE" w14:textId="00511B55" w:rsidR="0045488F" w:rsidRDefault="0045488F" w:rsidP="006A2272">
            <w:pPr>
              <w:spacing w:line="226" w:lineRule="exact"/>
              <w:rPr>
                <w:rFonts w:cs="Arial"/>
                <w:color w:val="FF0000"/>
              </w:rPr>
            </w:pPr>
            <w:r>
              <w:rPr>
                <w:rFonts w:cs="Arial"/>
                <w:color w:val="FF0000"/>
              </w:rPr>
              <w:t xml:space="preserve">           PP – 38%</w:t>
            </w:r>
          </w:p>
          <w:p w14:paraId="32A649D0" w14:textId="77777777" w:rsidR="00EA597D" w:rsidRDefault="0045488F" w:rsidP="006A2272">
            <w:pPr>
              <w:spacing w:line="226" w:lineRule="exact"/>
              <w:rPr>
                <w:rFonts w:cs="Arial"/>
                <w:color w:val="FF0000"/>
              </w:rPr>
            </w:pPr>
            <w:r>
              <w:rPr>
                <w:rFonts w:cs="Arial"/>
                <w:color w:val="FF0000"/>
              </w:rPr>
              <w:t xml:space="preserve">Year 5 PP 37.5% </w:t>
            </w:r>
          </w:p>
          <w:p w14:paraId="1982253D" w14:textId="576D8954" w:rsidR="00A254B1" w:rsidRPr="00EA597D" w:rsidRDefault="00EA597D" w:rsidP="006A2272">
            <w:pPr>
              <w:spacing w:line="226" w:lineRule="exact"/>
              <w:rPr>
                <w:rFonts w:cs="Arial"/>
                <w:color w:val="FF0000"/>
              </w:rPr>
            </w:pPr>
            <w:r>
              <w:rPr>
                <w:rFonts w:cs="Arial"/>
                <w:color w:val="FF0000"/>
              </w:rPr>
              <w:t xml:space="preserve">              </w:t>
            </w:r>
            <w:r w:rsidR="0045488F">
              <w:rPr>
                <w:rFonts w:cs="Arial"/>
                <w:color w:val="FF0000"/>
              </w:rPr>
              <w:t>non PP – 76%</w:t>
            </w:r>
          </w:p>
        </w:tc>
      </w:tr>
      <w:tr w:rsidR="00394907" w14:paraId="025FFD96" w14:textId="30DB5573" w:rsidTr="008329D8">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2736" w14:textId="77777777" w:rsidR="00394907" w:rsidRPr="00755C9C" w:rsidRDefault="00394907" w:rsidP="006A2272">
            <w:pPr>
              <w:pStyle w:val="TableRow"/>
              <w:rPr>
                <w:rFonts w:cs="Arial"/>
              </w:rPr>
            </w:pPr>
            <w:r>
              <w:rPr>
                <w:rFonts w:cs="Arial"/>
              </w:rPr>
              <w:t xml:space="preserve">Pupil Premium pupils have access to a range of </w:t>
            </w:r>
            <w:r>
              <w:rPr>
                <w:rFonts w:cs="Arial"/>
              </w:rPr>
              <w:lastRenderedPageBreak/>
              <w:t>activities and trips and uptake is comparable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41F4D" w14:textId="77777777" w:rsidR="00394907" w:rsidRDefault="00394907" w:rsidP="006A2272">
            <w:pPr>
              <w:spacing w:line="226" w:lineRule="exact"/>
              <w:rPr>
                <w:rFonts w:cs="Arial"/>
              </w:rPr>
            </w:pPr>
            <w:r>
              <w:rPr>
                <w:rFonts w:cs="Arial"/>
              </w:rPr>
              <w:lastRenderedPageBreak/>
              <w:t>All PP pupils participate in at least one residential and all school trips</w:t>
            </w:r>
          </w:p>
          <w:p w14:paraId="7401C142" w14:textId="77777777" w:rsidR="00394907" w:rsidRPr="00755C9C" w:rsidRDefault="00394907" w:rsidP="006A2272">
            <w:pPr>
              <w:spacing w:line="226" w:lineRule="exact"/>
              <w:rPr>
                <w:rFonts w:cs="Arial"/>
              </w:rPr>
            </w:pPr>
            <w:r>
              <w:rPr>
                <w:rFonts w:cs="Arial"/>
              </w:rPr>
              <w:lastRenderedPageBreak/>
              <w:t xml:space="preserve">All PP pupils have access to at least one extra-curricular club </w:t>
            </w:r>
          </w:p>
        </w:tc>
        <w:tc>
          <w:tcPr>
            <w:tcW w:w="4111" w:type="dxa"/>
            <w:tcBorders>
              <w:top w:val="single" w:sz="4" w:space="0" w:color="000000"/>
              <w:left w:val="single" w:sz="4" w:space="0" w:color="000000"/>
              <w:bottom w:val="single" w:sz="4" w:space="0" w:color="000000"/>
              <w:right w:val="single" w:sz="4" w:space="0" w:color="000000"/>
            </w:tcBorders>
          </w:tcPr>
          <w:p w14:paraId="6969F0C5" w14:textId="0E811C48" w:rsidR="00394907" w:rsidRDefault="00EA597D" w:rsidP="006A2272">
            <w:pPr>
              <w:spacing w:line="226" w:lineRule="exact"/>
              <w:rPr>
                <w:rFonts w:cs="Arial"/>
              </w:rPr>
            </w:pPr>
            <w:r>
              <w:rPr>
                <w:rFonts w:cs="Arial"/>
                <w:color w:val="00B050"/>
              </w:rPr>
              <w:lastRenderedPageBreak/>
              <w:t xml:space="preserve">All PP were offered a residential and a club. Not all took them up but were all offered. </w:t>
            </w:r>
          </w:p>
        </w:tc>
      </w:tr>
    </w:tbl>
    <w:p w14:paraId="7CC875CD" w14:textId="77777777" w:rsidR="00394907" w:rsidRDefault="00394907"/>
    <w:p w14:paraId="5F607372" w14:textId="17BF0252" w:rsidR="00FD36FE" w:rsidRDefault="00FD36FE"/>
    <w:p w14:paraId="15C8BB64" w14:textId="3A536FC2" w:rsidR="00FD36FE" w:rsidRDefault="00FD36FE"/>
    <w:p w14:paraId="2DF33D5E" w14:textId="1F9D4368" w:rsidR="00FD36FE" w:rsidRDefault="00FD36FE"/>
    <w:bookmarkEnd w:id="14"/>
    <w:bookmarkEnd w:id="15"/>
    <w:bookmarkEnd w:id="16"/>
    <w:p w14:paraId="598F4301" w14:textId="7B2EDF5F" w:rsidR="00D5771B" w:rsidRDefault="00D5771B">
      <w:pPr>
        <w:spacing w:after="0" w:line="240" w:lineRule="auto"/>
      </w:pPr>
    </w:p>
    <w:sectPr w:rsidR="00D5771B" w:rsidSect="00F27ED9">
      <w:headerReference w:type="default" r:id="rId11"/>
      <w:footerReference w:type="default" r:id="rId12"/>
      <w:pgSz w:w="11906" w:h="16838"/>
      <w:pgMar w:top="1134" w:right="1276"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6A2272" w:rsidRDefault="006A2272">
      <w:pPr>
        <w:spacing w:after="0" w:line="240" w:lineRule="auto"/>
      </w:pPr>
      <w:r>
        <w:separator/>
      </w:r>
    </w:p>
  </w:endnote>
  <w:endnote w:type="continuationSeparator" w:id="0">
    <w:p w14:paraId="183EE776" w14:textId="77777777" w:rsidR="006A2272" w:rsidRDefault="006A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F016B84" w:rsidR="006A2272" w:rsidRDefault="006A2272">
    <w:pPr>
      <w:pStyle w:val="Footer"/>
      <w:ind w:firstLine="4513"/>
    </w:pPr>
    <w:r>
      <w:fldChar w:fldCharType="begin"/>
    </w:r>
    <w:r>
      <w:instrText xml:space="preserve"> PAGE </w:instrText>
    </w:r>
    <w:r>
      <w:fldChar w:fldCharType="separate"/>
    </w:r>
    <w:r w:rsidR="002A76F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6A2272" w:rsidRDefault="006A2272">
      <w:pPr>
        <w:spacing w:after="0" w:line="240" w:lineRule="auto"/>
      </w:pPr>
      <w:r>
        <w:separator/>
      </w:r>
    </w:p>
  </w:footnote>
  <w:footnote w:type="continuationSeparator" w:id="0">
    <w:p w14:paraId="5021A7ED" w14:textId="77777777" w:rsidR="006A2272" w:rsidRDefault="006A2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6A2272" w:rsidRDefault="006A2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EF95988"/>
    <w:multiLevelType w:val="hybridMultilevel"/>
    <w:tmpl w:val="7340C806"/>
    <w:lvl w:ilvl="0" w:tplc="49441CC4">
      <w:start w:val="1"/>
      <w:numFmt w:val="bullet"/>
      <w:pStyle w:val="3Bulletedcopyblue"/>
      <w:lvlText w:val=""/>
      <w:lvlPicBulletId w:val="0"/>
      <w:lvlJc w:val="left"/>
      <w:pPr>
        <w:ind w:left="3431"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E4EEF"/>
    <w:rsid w:val="00120AB1"/>
    <w:rsid w:val="00140E43"/>
    <w:rsid w:val="00146305"/>
    <w:rsid w:val="0019441E"/>
    <w:rsid w:val="00196F4E"/>
    <w:rsid w:val="001B0FD4"/>
    <w:rsid w:val="001B5EB4"/>
    <w:rsid w:val="001F0286"/>
    <w:rsid w:val="00232057"/>
    <w:rsid w:val="00257387"/>
    <w:rsid w:val="00284701"/>
    <w:rsid w:val="002A76FB"/>
    <w:rsid w:val="002C502A"/>
    <w:rsid w:val="0032503C"/>
    <w:rsid w:val="00342B78"/>
    <w:rsid w:val="003444F6"/>
    <w:rsid w:val="003460B8"/>
    <w:rsid w:val="00363196"/>
    <w:rsid w:val="0036539A"/>
    <w:rsid w:val="003707C1"/>
    <w:rsid w:val="00394907"/>
    <w:rsid w:val="003B203D"/>
    <w:rsid w:val="003B4150"/>
    <w:rsid w:val="003F154D"/>
    <w:rsid w:val="004041C1"/>
    <w:rsid w:val="004044AA"/>
    <w:rsid w:val="00424624"/>
    <w:rsid w:val="0045488F"/>
    <w:rsid w:val="004A1851"/>
    <w:rsid w:val="0051041E"/>
    <w:rsid w:val="005111E9"/>
    <w:rsid w:val="00554067"/>
    <w:rsid w:val="005A7194"/>
    <w:rsid w:val="005C48CF"/>
    <w:rsid w:val="00601EA6"/>
    <w:rsid w:val="00632CD8"/>
    <w:rsid w:val="00676944"/>
    <w:rsid w:val="00686B7C"/>
    <w:rsid w:val="006A2272"/>
    <w:rsid w:val="006C3199"/>
    <w:rsid w:val="006E7FB1"/>
    <w:rsid w:val="007404DE"/>
    <w:rsid w:val="00741B9E"/>
    <w:rsid w:val="00744D3B"/>
    <w:rsid w:val="00755C9C"/>
    <w:rsid w:val="007A2C76"/>
    <w:rsid w:val="007B736A"/>
    <w:rsid w:val="007C2F04"/>
    <w:rsid w:val="007D5B4E"/>
    <w:rsid w:val="007E16D8"/>
    <w:rsid w:val="007E2F65"/>
    <w:rsid w:val="007E689E"/>
    <w:rsid w:val="007E6A8F"/>
    <w:rsid w:val="008144D8"/>
    <w:rsid w:val="008329D8"/>
    <w:rsid w:val="00851BCC"/>
    <w:rsid w:val="008862C5"/>
    <w:rsid w:val="008D6F4D"/>
    <w:rsid w:val="00925C2D"/>
    <w:rsid w:val="00931902"/>
    <w:rsid w:val="00937072"/>
    <w:rsid w:val="009631C5"/>
    <w:rsid w:val="009B457A"/>
    <w:rsid w:val="009D6C75"/>
    <w:rsid w:val="009D71E8"/>
    <w:rsid w:val="00A078D5"/>
    <w:rsid w:val="00A254B1"/>
    <w:rsid w:val="00A869A0"/>
    <w:rsid w:val="00A95458"/>
    <w:rsid w:val="00B27592"/>
    <w:rsid w:val="00B3549F"/>
    <w:rsid w:val="00B43AC2"/>
    <w:rsid w:val="00B93B3B"/>
    <w:rsid w:val="00BB34D5"/>
    <w:rsid w:val="00BE7B0D"/>
    <w:rsid w:val="00C14C82"/>
    <w:rsid w:val="00C30227"/>
    <w:rsid w:val="00C3356B"/>
    <w:rsid w:val="00C364DB"/>
    <w:rsid w:val="00C52DAE"/>
    <w:rsid w:val="00C671FF"/>
    <w:rsid w:val="00CE0523"/>
    <w:rsid w:val="00D16E92"/>
    <w:rsid w:val="00D33FE5"/>
    <w:rsid w:val="00D5771B"/>
    <w:rsid w:val="00D71469"/>
    <w:rsid w:val="00D92ABF"/>
    <w:rsid w:val="00E04BAB"/>
    <w:rsid w:val="00E10D58"/>
    <w:rsid w:val="00E35458"/>
    <w:rsid w:val="00E54006"/>
    <w:rsid w:val="00E66558"/>
    <w:rsid w:val="00EA597D"/>
    <w:rsid w:val="00EF42F8"/>
    <w:rsid w:val="00F27ED9"/>
    <w:rsid w:val="00F30457"/>
    <w:rsid w:val="00F30B1D"/>
    <w:rsid w:val="00F52CC2"/>
    <w:rsid w:val="00F5593C"/>
    <w:rsid w:val="00F70FF9"/>
    <w:rsid w:val="00F90472"/>
    <w:rsid w:val="00F92EEB"/>
    <w:rsid w:val="00FD3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7Tablebodycopy">
    <w:name w:val="7 Table body copy"/>
    <w:basedOn w:val="Normal"/>
    <w:qFormat/>
    <w:rsid w:val="00755C9C"/>
    <w:pPr>
      <w:suppressAutoHyphens w:val="0"/>
      <w:autoSpaceDN/>
      <w:spacing w:after="60" w:line="240" w:lineRule="auto"/>
    </w:pPr>
    <w:rPr>
      <w:rFonts w:eastAsia="MS Mincho"/>
      <w:color w:val="auto"/>
      <w:sz w:val="20"/>
      <w:lang w:val="en-US" w:eastAsia="en-US"/>
    </w:rPr>
  </w:style>
  <w:style w:type="paragraph" w:customStyle="1" w:styleId="3Bulletedcopyblue">
    <w:name w:val="3 Bulleted copy blue"/>
    <w:basedOn w:val="Normal"/>
    <w:qFormat/>
    <w:rsid w:val="00632CD8"/>
    <w:pPr>
      <w:numPr>
        <w:numId w:val="14"/>
      </w:numPr>
      <w:suppressAutoHyphens w:val="0"/>
      <w:autoSpaceDN/>
      <w:spacing w:after="120" w:line="240" w:lineRule="auto"/>
    </w:pPr>
    <w:rPr>
      <w:rFonts w:eastAsia="MS Mincho" w:cs="Arial"/>
      <w:color w:val="auto"/>
      <w:sz w:val="20"/>
      <w:szCs w:val="20"/>
      <w:lang w:val="en-US" w:eastAsia="en-US"/>
    </w:rPr>
  </w:style>
  <w:style w:type="paragraph" w:customStyle="1" w:styleId="7TableHeading">
    <w:name w:val="7 Table Heading"/>
    <w:basedOn w:val="Normal"/>
    <w:link w:val="7TableHeadingChar"/>
    <w:qFormat/>
    <w:rsid w:val="00632CD8"/>
    <w:pPr>
      <w:suppressAutoHyphens w:val="0"/>
      <w:autoSpaceDN/>
      <w:spacing w:after="0" w:line="240" w:lineRule="auto"/>
    </w:pPr>
    <w:rPr>
      <w:rFonts w:eastAsia="MS Mincho" w:cs="Arial"/>
      <w:color w:val="auto"/>
      <w:sz w:val="20"/>
      <w:szCs w:val="20"/>
      <w:lang w:val="en-US" w:eastAsia="en-US"/>
    </w:rPr>
  </w:style>
  <w:style w:type="character" w:customStyle="1" w:styleId="7TableHeadingChar">
    <w:name w:val="7 Table Heading Char"/>
    <w:link w:val="7TableHeading"/>
    <w:rsid w:val="00632CD8"/>
    <w:rPr>
      <w:rFonts w:eastAsia="MS Mincho" w:cs="Arial"/>
      <w:lang w:val="en-US" w:eastAsia="en-US"/>
    </w:rPr>
  </w:style>
  <w:style w:type="paragraph" w:customStyle="1" w:styleId="7Tablebodybulleted">
    <w:name w:val="7 Table body bulleted"/>
    <w:basedOn w:val="Normal"/>
    <w:qFormat/>
    <w:rsid w:val="00632CD8"/>
    <w:pPr>
      <w:numPr>
        <w:numId w:val="15"/>
      </w:numPr>
      <w:suppressAutoHyphens w:val="0"/>
      <w:autoSpaceDN/>
      <w:spacing w:after="120" w:line="240" w:lineRule="auto"/>
      <w:ind w:right="284"/>
    </w:pPr>
    <w:rPr>
      <w:rFonts w:eastAsia="MS Mincho"/>
      <w:color w:val="auto"/>
      <w:sz w:val="20"/>
      <w:lang w:val="en-US" w:eastAsia="en-US"/>
    </w:rPr>
  </w:style>
  <w:style w:type="table" w:styleId="TableGrid">
    <w:name w:val="Table Grid"/>
    <w:basedOn w:val="TableNormal"/>
    <w:uiPriority w:val="39"/>
    <w:rsid w:val="002C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s-v-files-01\FR-STAFF\h.mcguire\Desktop\EEF_Maths_EY_KS1_Guidance_Repor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2750~1.MCG\AppData\Local\Temp\7zO80551720\5660_EEF_-_Maths_Guidance_RAG_v5.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ducationendowmentfoundation.org.uk/projects-and-evaluation/projects/reflected-meta-cognition/"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small-group-tuitio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8</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Hannah McGuire</cp:lastModifiedBy>
  <cp:revision>32</cp:revision>
  <cp:lastPrinted>2014-09-17T13:26:00Z</cp:lastPrinted>
  <dcterms:created xsi:type="dcterms:W3CDTF">2022-09-09T19:05:00Z</dcterms:created>
  <dcterms:modified xsi:type="dcterms:W3CDTF">2022-09-14T19:03:00Z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